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C57F" w14:textId="77777777" w:rsidR="004C2710" w:rsidRPr="00BA1EB7" w:rsidRDefault="004C2710" w:rsidP="004C271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ЗАТВЕРДЖЕНО</w:t>
      </w:r>
    </w:p>
    <w:p w14:paraId="557E8602" w14:textId="77777777" w:rsidR="004C2710" w:rsidRPr="00BA1EB7" w:rsidRDefault="004C2710" w:rsidP="004C271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Наказ Міністерства охорони здоров’я України</w:t>
      </w:r>
    </w:p>
    <w:p w14:paraId="71E7D1B7" w14:textId="77777777" w:rsidR="004C2710" w:rsidRPr="00BA1EB7" w:rsidRDefault="004C2710" w:rsidP="004C271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6"/>
          <w:szCs w:val="6"/>
          <w:lang w:val="uk-UA" w:eastAsia="ru-RU"/>
        </w:rPr>
      </w:pPr>
    </w:p>
    <w:p w14:paraId="65655543" w14:textId="75B56E65" w:rsidR="004C2710" w:rsidRPr="00BA1EB7" w:rsidRDefault="009B4285" w:rsidP="004C271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42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17.06.2024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1A613D" w:rsidRPr="00BA1E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B42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1056</w:t>
      </w:r>
    </w:p>
    <w:p w14:paraId="7B84C7DF" w14:textId="77777777" w:rsidR="004C2710" w:rsidRPr="00BA1EB7" w:rsidRDefault="004C2710" w:rsidP="004C271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Реєстраційне посвідчення</w:t>
      </w:r>
    </w:p>
    <w:p w14:paraId="2FF4C2BA" w14:textId="77777777" w:rsidR="004C2710" w:rsidRPr="00BA1EB7" w:rsidRDefault="004C2710" w:rsidP="004C271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6"/>
          <w:szCs w:val="6"/>
          <w:lang w:val="uk-UA" w:eastAsia="ru-RU"/>
        </w:rPr>
      </w:pPr>
    </w:p>
    <w:p w14:paraId="5BDF3834" w14:textId="4357C160" w:rsidR="004C2710" w:rsidRPr="00BA1EB7" w:rsidRDefault="004C2710" w:rsidP="004C271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№ </w:t>
      </w:r>
      <w:r w:rsidR="00EE1871" w:rsidRPr="00BA1EB7">
        <w:rPr>
          <w:b/>
          <w:lang w:val="uk-UA"/>
        </w:rPr>
        <w:t xml:space="preserve"> </w:t>
      </w:r>
      <w:r w:rsidR="00EE1871" w:rsidRPr="00BA1E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UA/17523/01/01</w:t>
      </w:r>
    </w:p>
    <w:p w14:paraId="1D7C0C8B" w14:textId="77777777" w:rsidR="004C2710" w:rsidRPr="00BA1EB7" w:rsidRDefault="004C2710" w:rsidP="004C27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14:paraId="3AF9E851" w14:textId="77777777" w:rsidR="004C2710" w:rsidRPr="00BA1EB7" w:rsidRDefault="004C2710" w:rsidP="004C2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14:paraId="205251A1" w14:textId="77777777" w:rsidR="004C2710" w:rsidRPr="00BA1EB7" w:rsidRDefault="004C2710" w:rsidP="004C2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BA1EB7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ІНСТРУКЦІЯ</w:t>
      </w:r>
    </w:p>
    <w:p w14:paraId="11125E0A" w14:textId="77777777" w:rsidR="004C2710" w:rsidRPr="00BA1EB7" w:rsidRDefault="004C2710" w:rsidP="004C2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BA1EB7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для медичного застосування лікарського засобу</w:t>
      </w:r>
    </w:p>
    <w:p w14:paraId="08AE633A" w14:textId="77777777" w:rsidR="004C2710" w:rsidRPr="00BA1EB7" w:rsidRDefault="004C2710" w:rsidP="004C2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14:paraId="25216763" w14:textId="77777777" w:rsidR="004C2710" w:rsidRPr="00BA1EB7" w:rsidRDefault="004C2710" w:rsidP="004C2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proofErr w:type="spellStart"/>
      <w:r w:rsidRPr="00BA1EB7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Мітрен</w:t>
      </w:r>
      <w:proofErr w:type="spellEnd"/>
    </w:p>
    <w:p w14:paraId="0D88071A" w14:textId="77777777" w:rsidR="004C2710" w:rsidRPr="00BA1EB7" w:rsidRDefault="004C2710" w:rsidP="004C2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</w:t>
      </w:r>
      <w:proofErr w:type="spellStart"/>
      <w:r w:rsidRPr="00BA1EB7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Mitren</w:t>
      </w:r>
      <w:proofErr w:type="spellEnd"/>
      <w:r w:rsidRPr="00BA1E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</w:t>
      </w:r>
    </w:p>
    <w:p w14:paraId="36852485" w14:textId="77777777" w:rsidR="004C2710" w:rsidRPr="00BA1EB7" w:rsidRDefault="004C2710" w:rsidP="004C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CD6E560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Склад:</w:t>
      </w:r>
    </w:p>
    <w:p w14:paraId="4B2A4C4C" w14:textId="77777777" w:rsidR="004C2710" w:rsidRPr="00BA1EB7" w:rsidRDefault="004C2710" w:rsidP="004C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діюча речовина:</w:t>
      </w:r>
      <w:r w:rsidRPr="00BA1EB7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30BDD0D5" w14:textId="4161A233" w:rsidR="004C2710" w:rsidRPr="00BA1EB7" w:rsidRDefault="004C2710" w:rsidP="004C27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val="uk-UA" w:eastAsia="x-none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1 таблетка містить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2</w:t>
      </w:r>
      <w:r w:rsidR="00351C53" w:rsidRPr="00BA1EB7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мг;</w:t>
      </w:r>
    </w:p>
    <w:p w14:paraId="7D015151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допоміжні речовини: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лактоза, моногідрат; крохмаль кукурудзяний;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К-30; магнію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стеарат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6999DB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E454BA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Лікарська форма.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Таблетки.</w:t>
      </w:r>
    </w:p>
    <w:p w14:paraId="03751AE5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Основні фізико-хімічні властивості: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білі круглі плоскі таблетки.</w:t>
      </w:r>
    </w:p>
    <w:p w14:paraId="3E957E03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9F5D8CF" w14:textId="1664AC52" w:rsidR="004C2710" w:rsidRPr="00BA1EB7" w:rsidRDefault="004C2710" w:rsidP="00480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Фармакотерапевтична</w:t>
      </w:r>
      <w:proofErr w:type="spellEnd"/>
      <w:r w:rsidRPr="00BA1EB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група. </w:t>
      </w:r>
      <w:r w:rsidR="00973CB6" w:rsidRPr="00BA1E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Гормони статевих залоз та препарати, які застосовують при патології статевих органів. </w:t>
      </w:r>
      <w:proofErr w:type="spellStart"/>
      <w:r w:rsidR="00973CB6" w:rsidRPr="00BA1E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Прогестогени</w:t>
      </w:r>
      <w:proofErr w:type="spellEnd"/>
      <w:r w:rsidR="00973CB6" w:rsidRPr="00BA1E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="0048025C" w:rsidRPr="00BA1E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Код АТХ </w:t>
      </w:r>
      <w:r w:rsidRPr="00BA1EB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G03D B08.</w:t>
      </w:r>
    </w:p>
    <w:p w14:paraId="483E7CD9" w14:textId="77777777" w:rsidR="0048025C" w:rsidRPr="00BA1EB7" w:rsidRDefault="0048025C" w:rsidP="0048025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  <w:lang w:val="uk-UA" w:eastAsia="ru-RU"/>
        </w:rPr>
      </w:pPr>
    </w:p>
    <w:p w14:paraId="178B6F78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Фармакологічні властивості.</w:t>
      </w:r>
    </w:p>
    <w:p w14:paraId="5B400225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proofErr w:type="spellStart"/>
      <w:r w:rsidRPr="00BA1EB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Фармакодинаміка</w:t>
      </w:r>
      <w:proofErr w:type="spellEnd"/>
      <w:r w:rsidRPr="00BA1EB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</w:t>
      </w:r>
    </w:p>
    <w:p w14:paraId="419F1E15" w14:textId="30566E85" w:rsidR="004C2710" w:rsidRPr="00BA1EB7" w:rsidRDefault="004C2710" w:rsidP="0048025C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="0048025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="0048025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48025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похідн</w:t>
      </w:r>
      <w:r w:rsidR="0020146B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нортестостерону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без андрогенної та з певною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антиандрогенною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активністю, що становить приблизно одну третину активності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ципротерону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ацетату.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зв’язується з рецепторами прогестерону у матці тільки з 10</w:t>
      </w:r>
      <w:r w:rsidR="0038219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% відносною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афінністю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Незважаючи на низьку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афінність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рецепторів прогестерону,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має сильний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прогестогенний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ефект 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="00351C53"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 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vivo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проявляє значну андрогенну,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мінералокортикоїдну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глюкокортикоїдну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активність 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="00351C53"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 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vivo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051E0E7" w14:textId="409ABDF1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впливає на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ендометріоз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зменшуючи ендогенн</w:t>
      </w:r>
      <w:r w:rsidR="0020146B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продук</w:t>
      </w:r>
      <w:r w:rsidR="0020146B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ування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естрадіолу і таким чином пригнічуючи трофічні ефекти естрадіолу на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еутопічний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ектопічний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ендометрій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При безперервному застосуванні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призводить до створення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гіпоестрогенного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гіпергестагенного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ендокринного середовища, що спричиняє початкову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децидуалізацію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тканини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ендометрія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подальшою атрофією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ендометріоїдних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вогнищ. </w:t>
      </w:r>
    </w:p>
    <w:p w14:paraId="302DA628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Дані щодо ефективності</w:t>
      </w:r>
    </w:p>
    <w:p w14:paraId="624C14C3" w14:textId="5B86E55D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Перевага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порівняно з плацебо була продемонстрована у 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ході </w:t>
      </w:r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тримісячного дослідження з участю 198 пацієнток з </w:t>
      </w:r>
      <w:proofErr w:type="spellStart"/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ендометріозом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Біль у ділянці таза, пов’язаний з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ендометріозом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вимірювали за допомогою візуальної аналогової шкали (0</w:t>
      </w:r>
      <w:r w:rsidR="0020146B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100 мм). Через 3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місяці терапії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була визначена статистично значуща різниця порівняно з плацебо </w:t>
      </w:r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r w:rsidR="004D5180" w:rsidRPr="00BA1EB7">
        <w:rPr>
          <w:rFonts w:ascii="Symbol" w:eastAsia="Times New Roman" w:hAnsi="Symbol" w:cs="Times New Roman"/>
          <w:color w:val="000000"/>
          <w:sz w:val="24"/>
          <w:szCs w:val="24"/>
          <w:lang w:val="uk-UA"/>
        </w:rPr>
        <w:t></w:t>
      </w:r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= 12,3 мм; 95 % ДІ</w:t>
      </w:r>
      <w:r w:rsidR="0020146B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[довірчий інтервал]</w:t>
      </w:r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 6,4–18,1; p</w:t>
      </w:r>
      <w:r w:rsidR="0020146B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&lt;</w:t>
      </w:r>
      <w:r w:rsidR="0020146B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0,0001)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та клінічно значуще зменшення болю порівняно з початковим рівнем (середнє зменшення = 27,4 мм ± 22,9).</w:t>
      </w:r>
    </w:p>
    <w:p w14:paraId="1BC55A94" w14:textId="667E0498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Через 3 місяці лікування зменшення болю у ділянці малого таза, що був пов’язаний з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ендометріозом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на 50 % або більше було досягнуто у 37,3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% пацієнток, які отримували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(плацебо: 19,8 %) без відповідного збільшення дози супутнього знеболювального засобу; зменшення болю у ділянці малого таза, пов’язаного з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ендометріозом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на 75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% або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більше (також без відповідного збільшення дози супутнього знеболювального) було досягнуто у 18,6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% пацієнток, які отримували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(плацебо: 7,3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%).</w:t>
      </w:r>
    </w:p>
    <w:p w14:paraId="7D309C28" w14:textId="66670233" w:rsidR="004C2710" w:rsidRPr="00BA1EB7" w:rsidRDefault="004D518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Відкрите продовження 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цього дослідження показало безперервне зменшення пов’язаного з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ендометріозом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болю в ділянці таза при лікуванні тривалістю до 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15 місяців.</w:t>
      </w:r>
    </w:p>
    <w:p w14:paraId="36D5902C" w14:textId="242761EC" w:rsidR="004D5180" w:rsidRPr="00BA1EB7" w:rsidRDefault="004D518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Результати плацебоконтрольованих досліджень підтверджувалися результатами, отриманими у ході шестимісячного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активноконтрольованого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дослідження порівняно з агоністом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гонадотропін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рилізинг</w:t>
      </w:r>
      <w:proofErr w:type="spellEnd"/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гормону з участю 252 пацієнток з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ендометріозом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A08B90F" w14:textId="77777777" w:rsidR="004D5180" w:rsidRPr="00BA1EB7" w:rsidRDefault="004D518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Три дослідження з участю 252 пацієнток, які отримували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 2 мг на добу, продемонстрували істотне зниження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ендометріоїдних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уражень через 6 місяців лікування.</w:t>
      </w:r>
    </w:p>
    <w:p w14:paraId="07BEB3D1" w14:textId="76D20EA9" w:rsidR="004C2710" w:rsidRPr="00BA1EB7" w:rsidRDefault="004D518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ході невеликого дослідження (n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=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8 на групу дозування) 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застосування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дозі 1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мг на добу виявило відсутність овуляції через 1 місяць терапії.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досліджували щодо контрацептивної ефективності у більших дослідженнях.</w:t>
      </w:r>
    </w:p>
    <w:p w14:paraId="3A04FD1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Дані щодо безпеки</w:t>
      </w:r>
    </w:p>
    <w:p w14:paraId="6C6F3778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Рівень ендогенного естрогену тільки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помірно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пригнічується під час лікування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16DB73E3" w14:textId="14D0A3F3" w:rsidR="004D5180" w:rsidRPr="00BA1EB7" w:rsidRDefault="004D518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сьогодні 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результати довгострокових досліджень мінеральної щільності кіст</w:t>
      </w:r>
      <w:r w:rsidR="00900F15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кової тканини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(МЩК</w:t>
      </w:r>
      <w:r w:rsidR="00900F15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і ризику переломів у пацієнток, які застосовують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поки що недоступні.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МЩК</w:t>
      </w:r>
      <w:r w:rsidR="00900F15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оцінювали у 21 дорослої пацієнтки до та після 6 місяців лікування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 Зниження середнього показника МЩК</w:t>
      </w:r>
      <w:r w:rsidR="00900F15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виявлено не було. У 29 пацієнток, які отримували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лейпрореліну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ацетат, середнє зниження 4,04 % ± 4,84 було відзначено за той же період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r w:rsidRPr="00BA1EB7">
        <w:rPr>
          <w:rFonts w:ascii="Symbol" w:eastAsia="Times New Roman" w:hAnsi="Symbol" w:cs="Times New Roman"/>
          <w:color w:val="000000"/>
          <w:sz w:val="24"/>
          <w:szCs w:val="24"/>
          <w:lang w:val="uk-UA"/>
        </w:rPr>
        <w:t>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між групами становило 4,29 %, 95 % ДІ: 1,93−6,66, р &lt;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0,0003).</w:t>
      </w:r>
    </w:p>
    <w:p w14:paraId="26A82063" w14:textId="62983F23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спостерігали значного впливу на стандартні лабораторні показники, у тому числі на результати аналізу крові, біохімічного аналізу крові, рівень печінкових ферментів, рівень ліпідів і HbA1С, під час лікування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упродовж 15 місяців</w:t>
      </w:r>
      <w:r w:rsidR="00D70407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(N = 168).</w:t>
      </w:r>
    </w:p>
    <w:p w14:paraId="681D974B" w14:textId="5F4E971D" w:rsidR="004C2710" w:rsidRPr="00BA1EB7" w:rsidRDefault="004C2710" w:rsidP="004C27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Безпек</w:t>
      </w:r>
      <w:r w:rsidR="004D5180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дієногесту</w:t>
      </w:r>
      <w:proofErr w:type="spellEnd"/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</w:t>
      </w:r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МЩК</w:t>
      </w:r>
      <w:r w:rsidR="00900F15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</w:t>
      </w:r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було досліджено у ході неконтрольованого дослідження протягом 12 місяців за участі 111 пацієнток підліткового віку (від 12 до &lt;18 років) з клінічно підозрюваним або підтвердженим </w:t>
      </w:r>
      <w:proofErr w:type="spellStart"/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ендометріозом</w:t>
      </w:r>
      <w:proofErr w:type="spellEnd"/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Середня відносна зміна МЩК</w:t>
      </w:r>
      <w:r w:rsidR="00900F15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поперекового відділу хребта (L2–L4) від вихідних показників у пацієнток до закінчення лікування становила </w:t>
      </w:r>
      <w:r w:rsidR="008B2832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1,2</w:t>
      </w:r>
      <w:r w:rsidR="004D5180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 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%. Повторне вимірювання через 6 місяців після закінчення лікування у </w:t>
      </w:r>
      <w:proofErr w:type="spellStart"/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субгрупі</w:t>
      </w:r>
      <w:proofErr w:type="spellEnd"/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DC3BBF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зі </w:t>
      </w:r>
      <w:r w:rsidR="00DC3BBF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зниженими значеннями МЩК</w:t>
      </w:r>
      <w:r w:rsidR="00900F15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показало підвищення МЩК</w:t>
      </w:r>
      <w:r w:rsidR="00900F15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900F15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до </w:t>
      </w:r>
      <w:r w:rsidR="00900F15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8B2832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-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0,6</w:t>
      </w:r>
      <w:r w:rsidR="0066589C"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 </w:t>
      </w:r>
      <w:r w:rsidRPr="00BA1EB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%.</w:t>
      </w:r>
    </w:p>
    <w:p w14:paraId="09746DAF" w14:textId="77777777" w:rsidR="004D5180" w:rsidRPr="00BA1EB7" w:rsidRDefault="004D518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Дані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доклінічних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досліджень з безпеки</w:t>
      </w:r>
    </w:p>
    <w:p w14:paraId="52A08B38" w14:textId="77777777" w:rsidR="004D5180" w:rsidRPr="00BA1EB7" w:rsidRDefault="004D518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Дані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доклінічних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досліджень не вказують на існування особливого ризику для людини на підставі стандартних досліджень токсичності при багаторазовому прийомі,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генотоксичності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канцерогенної дії та токсичного впливу на репродуктивну функцію. Проте слід брати до уваги, що статеві стероїди можуть сприяти росту певних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гормонозалежних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тканин та пухлин.</w:t>
      </w:r>
    </w:p>
    <w:p w14:paraId="7409C978" w14:textId="77777777" w:rsidR="004D5180" w:rsidRPr="00BA1EB7" w:rsidRDefault="004D518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Дані з безпеки при довготривалому застосуванні</w:t>
      </w:r>
    </w:p>
    <w:p w14:paraId="2BE19DEE" w14:textId="74AC95D4" w:rsidR="004D5180" w:rsidRPr="00BA1EB7" w:rsidRDefault="004D518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Було проведено обсерваційне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післяреєстраційне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дослідження з активним спостереженням з метою визначення частоти первинного виникнення або загострення клінічно значущої депресії та появи анемії. У дослідженні взяли участь загалом 27840 жінок, яким було вперше призначено гормональну терапію для лікування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ендометріозу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і за їхнім станом спостерігали протягом періоду до 7 років. 3023 жінкам було призначено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 дозуванні 2 мг, 3371 пацієнтці було призначено інші лікарські засоби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схвалені для лікування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ендометріозу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Загальне скориговане співвідношення ризиків виникнення нових випадків анемії у пацієнток, які приймали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порівняно з пацієнтками, які приймали інші лікарські засоби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схвалені для лікування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ендометріозу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становило 1,1 (ДІ 95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%: 0,4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–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2,6). Скориговане співвідношення ризиків виникнення</w:t>
      </w:r>
      <w:r w:rsidR="00FB05E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депресії у пацієнток, які приймали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порівняно з пацієнтками, які приймали інші лікарські засоби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схвалені для лікування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ендометріозу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становило 1,8 (ДІ 95 %: 0,3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–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9,4). Не можна виключити незначне підвищення ризику виникнення депресії у пацієнток, які приймають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порівняно з пацієнтками, які приймають інші лікарські засоби</w:t>
      </w:r>
      <w:r w:rsidR="00DC3BB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схвалені для лікування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ендометріозу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52420258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Фармакокінетика.</w:t>
      </w:r>
    </w:p>
    <w:p w14:paraId="4960CB9A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Всмоктування</w:t>
      </w:r>
    </w:p>
    <w:p w14:paraId="216FA06C" w14:textId="6C970ECD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Після перорального прийому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швидко і повністю всмоктується. Максимальна концентрація у сироватці крові досягається упродовж 1,5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години після одноразового перорального прийому і становить 47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нг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/мл.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Біодоступність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становить приблизно 91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%. Фармакокінетика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залежить від дози в діапазоні доз 1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2D"/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мг.</w:t>
      </w:r>
    </w:p>
    <w:p w14:paraId="526A2208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Розподіл</w:t>
      </w:r>
    </w:p>
    <w:p w14:paraId="4CA85BBB" w14:textId="3CA79184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зв’язується із сироватковим альбуміном та не зв’язується з глобуліном, що зв’язує статеві стероїди (ГЗСС), або глобуліном, що зв’язує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кортикоїди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(ГЗК). Лише 10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% від загальної концентрації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сироватці крові знаходяться у вигляді вільного стероїду, а 90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%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неспецифічно зв’язані з альбуміном. Очевидний об’єм розподілу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становить 40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л.</w:t>
      </w:r>
    </w:p>
    <w:p w14:paraId="71D3F211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Метаболізм</w:t>
      </w:r>
    </w:p>
    <w:p w14:paraId="6AFA6DE9" w14:textId="09C23BEE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повністю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метаболізується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відомими шляхами метаболізму стероїдів, з утворенням переважно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ендокринологічно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неактивних метаболітів. На підставі досліджень 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="004D5180"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 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vitro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="004D5180"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 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vivo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CYP3A4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головний фермент, залучений у метаболізм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Ці метаболіти дуже швидко виводяться з плазми у такий спосіб, що домінуючим метаболітом у плазмі крові є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незміненому вигляді.</w:t>
      </w:r>
    </w:p>
    <w:p w14:paraId="245767AD" w14:textId="44CB8D5B" w:rsidR="004C2710" w:rsidRPr="00BA1EB7" w:rsidRDefault="00A13109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Сироватковий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кліренс становить 64</w:t>
      </w:r>
      <w:r w:rsidR="004D518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мл/хв.</w:t>
      </w:r>
    </w:p>
    <w:p w14:paraId="48311E35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Виведення</w:t>
      </w:r>
    </w:p>
    <w:p w14:paraId="1F60A03D" w14:textId="01705523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Рівень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сироватці крові знижується двофазно з періодом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напіввиведення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що становить 9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2D"/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 годин.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виводиться у формі метаболітів із сечею та калом у співвідношенні приблизно 3:1 після перорального прийому у дозі 0,1 мг/кг. Період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напіввиведення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метаболітів із сечею становить приблизно 14 годин. Після перорального прийому 86 % введеної дози виводиться з організму у межах 6 днів, більша частина цієї кількості виводиться у перші 24 години, головним чином із сечею.</w:t>
      </w:r>
    </w:p>
    <w:p w14:paraId="08833F52" w14:textId="63EDF99C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Стан рівноваги</w:t>
      </w:r>
      <w:r w:rsidR="00FB05E0"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.</w:t>
      </w:r>
      <w:r w:rsidR="00FB05E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Фармакокінетика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залежить від рівня ГЗСС. При щоденному прийомі концентрація речовини у сироватці крові зростає в 1,24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раза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досягаючи рівноважного стану через 4 дні застосування. Фармакокінетика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після повторного застосування </w:t>
      </w:r>
      <w:r w:rsidR="00A13109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лікарського засобу</w:t>
      </w:r>
      <w:r w:rsidR="004D518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FB05E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="00FB05E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може бут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и передбачена на підставі даних щодо фармакокінетики однієї дози.</w:t>
      </w:r>
    </w:p>
    <w:p w14:paraId="405CBA46" w14:textId="177BEDE4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 w:eastAsia="ru-RU"/>
        </w:rPr>
      </w:pPr>
      <w:r w:rsidRPr="00BA1EB7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 w:eastAsia="ru-RU"/>
        </w:rPr>
        <w:t>Фармакокінетика в особливих групах пацієнтів</w:t>
      </w:r>
      <w:r w:rsidR="00FB05E0" w:rsidRPr="00BA1EB7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 w:eastAsia="ru-RU"/>
        </w:rPr>
        <w:t>.</w:t>
      </w:r>
      <w:r w:rsidR="00FB05E0" w:rsidRPr="00BA1EB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BA1EB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У пацієнтів із порушеннями функції нирок фармакокінетику </w:t>
      </w:r>
      <w:proofErr w:type="spellStart"/>
      <w:r w:rsidRPr="00BA1EB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не вивчали. У пацієнтів із порушеннями функції печінки фармакокінетику </w:t>
      </w:r>
      <w:proofErr w:type="spellStart"/>
      <w:r w:rsidRPr="00BA1EB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не вивчали.</w:t>
      </w:r>
    </w:p>
    <w:p w14:paraId="4062F0D6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</w:p>
    <w:p w14:paraId="2EBE20AD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Клінічні характеристики.</w:t>
      </w:r>
      <w:r w:rsidRPr="00BA1E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14:paraId="4EF86C02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Показання.</w:t>
      </w:r>
    </w:p>
    <w:p w14:paraId="2B54566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ендометріозу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D847B4C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</w:p>
    <w:p w14:paraId="3E7AFB6F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Протипоказання.</w:t>
      </w:r>
    </w:p>
    <w:p w14:paraId="0F0CAF96" w14:textId="436DB349" w:rsidR="004C2710" w:rsidRPr="00BA1EB7" w:rsidRDefault="00A13109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Лікарський засіб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слід застосовувати у разі наявності будь-якого із нижчезазначених станів або захворювань. Ц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протипоказання визначені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частково на підставі застосування інших препаратів, що містять тільки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Якщо будь-який із цих станів або захворювань виникає вперше під час застосування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його прийом слід негайно припинити.</w:t>
      </w:r>
    </w:p>
    <w:p w14:paraId="74B8D44C" w14:textId="77777777" w:rsidR="004C2710" w:rsidRPr="00BA1EB7" w:rsidRDefault="004C2710" w:rsidP="004C27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Венозна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тромбоемболія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активній формі.</w:t>
      </w:r>
    </w:p>
    <w:p w14:paraId="71B55A66" w14:textId="27546FC6" w:rsidR="004C2710" w:rsidRPr="00BA1EB7" w:rsidRDefault="004C2710" w:rsidP="004C27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Артеріальні або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кардіоваскулярні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захворювання нині або в анамнезі (наприклад, інфаркт міокарда,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цереброваскулярн</w:t>
      </w:r>
      <w:r w:rsidR="00A13109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13109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явище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ішемічна хвороба серця).</w:t>
      </w:r>
    </w:p>
    <w:p w14:paraId="5559DF62" w14:textId="77777777" w:rsidR="004C2710" w:rsidRPr="00BA1EB7" w:rsidRDefault="004C2710" w:rsidP="004C27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Цукровий діабет з ураженням судин.</w:t>
      </w:r>
    </w:p>
    <w:p w14:paraId="73DB94D4" w14:textId="77777777" w:rsidR="004C2710" w:rsidRPr="00BA1EB7" w:rsidRDefault="004C2710" w:rsidP="004C27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Тяжкі захворювання печінки нині або їх наявність в анамнезі, поки показники функції печінки не повернуться до норми.</w:t>
      </w:r>
    </w:p>
    <w:p w14:paraId="49E98E3D" w14:textId="77777777" w:rsidR="004C2710" w:rsidRPr="00BA1EB7" w:rsidRDefault="004C2710" w:rsidP="004C27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Пухлини печінки нині або в анамнезі (доброякісні або злоякісні).</w:t>
      </w:r>
    </w:p>
    <w:p w14:paraId="20029281" w14:textId="77777777" w:rsidR="004C2710" w:rsidRPr="00BA1EB7" w:rsidRDefault="004C2710" w:rsidP="004C27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Відомі або підозрювані злоякісні пухлини, залежні від статевих гормонів.</w:t>
      </w:r>
    </w:p>
    <w:p w14:paraId="1DBB1843" w14:textId="77777777" w:rsidR="004C2710" w:rsidRPr="00BA1EB7" w:rsidRDefault="004C2710" w:rsidP="004C27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Вагінальна кровотеча нез’ясованої етіології.</w:t>
      </w:r>
    </w:p>
    <w:p w14:paraId="2D9E7B10" w14:textId="1C53336E" w:rsidR="004C2710" w:rsidRPr="00BA1EB7" w:rsidRDefault="004C2710" w:rsidP="004C271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Підвищена чутливість до діючої речовини або до будь-якого з </w:t>
      </w:r>
      <w:r w:rsidR="00A13109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допоміжних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компонентів </w:t>
      </w:r>
      <w:r w:rsidR="00A13109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3E3DB8C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</w:p>
    <w:p w14:paraId="476A4F51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Взаємодія з іншими лікарськими засобами та інші види вза</w:t>
      </w:r>
      <w:r w:rsidRPr="00BA1EB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ємодій.</w:t>
      </w:r>
    </w:p>
    <w:p w14:paraId="5471BEE0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Примітка: для виявлення можливих взаємодій слід ознайомитися з інструкціями для медичного застосування лікарських засобів, які застосовують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супутньо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2AB47928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Вплив інших препаратів на 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дієногест</w:t>
      </w:r>
      <w:proofErr w:type="spellEnd"/>
    </w:p>
    <w:p w14:paraId="6898CEF1" w14:textId="715ED934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Прогестогени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включаючи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метаболізуються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головним чином системою цитохрому Р450 3А4 (CYP3A4), що розташована у слизовій оболонці кишечнику та в печінці. Тому індуктори або інгібітори CYP3A4 можуть впливати на метаболізм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Збільшення кліренсу статевих гормонів через індукцію ферментів може зменшити терапевтичний ефект </w:t>
      </w:r>
      <w:r w:rsidR="00EE7C48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призвести до небажаних ефектів, наприклад до змін характеру менструальної кровотечі. </w:t>
      </w:r>
    </w:p>
    <w:p w14:paraId="4947E478" w14:textId="77B87289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Зменшення кліренсу статевих гормонів через пригнічення ферменту може зменшити терапевтичний ефект </w:t>
      </w:r>
      <w:r w:rsidR="00EE7C48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призвести до розвитку побічних реакцій.</w:t>
      </w:r>
    </w:p>
    <w:p w14:paraId="66149F2A" w14:textId="7A0EE89A" w:rsidR="004C2710" w:rsidRPr="00BA1EB7" w:rsidRDefault="004C2710" w:rsidP="004C271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Речовини, що підвищують кліренс статевих гормонів (зниження ефективності шляхом індукування ферментів), наприклад</w:t>
      </w:r>
      <w:r w:rsidR="00EE7C48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фенітоїн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барбітурати,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примідон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карбамазепін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рифампіцин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також, можливо,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окскарбазепін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топірамат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фельбамат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гризеофульвін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засоби, що містять звіробій (</w:t>
      </w:r>
      <w:proofErr w:type="spellStart"/>
      <w:r w:rsidRPr="00BA1EB7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Hypericum</w:t>
      </w:r>
      <w:proofErr w:type="spellEnd"/>
      <w:r w:rsidRPr="00BA1EB7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perforatum</w:t>
      </w:r>
      <w:proofErr w:type="spellEnd"/>
      <w:r w:rsidRPr="00BA1EB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  <w:r w:rsidRPr="00BA1EB7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402B0AB7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Індукція ферментів може спостерігатися після декількох днів терапії. Максимальна індукція ферментів загалом виявляється через декілька тижнів.</w:t>
      </w:r>
    </w:p>
    <w:p w14:paraId="4E46DD01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Індукція ферментів може тривати до 4 тижнів після припинення терапії.</w:t>
      </w:r>
    </w:p>
    <w:p w14:paraId="0F9956FE" w14:textId="3B35E0AA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Вплив індуктора CYP 3А4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рифампіцину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досліджувався у здорових жінок 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постклімактеричному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періоді. Одночасне застосування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рифампіцину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таблетованою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формою естрадіолу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валерату</w:t>
      </w:r>
      <w:proofErr w:type="spellEnd"/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E7C48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призвело до значного зниження рівноважної концентрації та системного впливу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естрадіолу. Системний вплив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естрадіолу у рівноважному стані, виміряний за AUC (0–24 год), зменшився на 83</w:t>
      </w:r>
      <w:r w:rsidR="00E31CAA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% та 44</w:t>
      </w:r>
      <w:r w:rsidR="00E31CAA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% відповідно.</w:t>
      </w:r>
    </w:p>
    <w:p w14:paraId="08AB09C5" w14:textId="77777777" w:rsidR="004C2710" w:rsidRPr="00BA1EB7" w:rsidRDefault="004C2710" w:rsidP="004C271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Речовини з різним впливом на кліренс статевих гормонів.</w:t>
      </w:r>
    </w:p>
    <w:p w14:paraId="24A28696" w14:textId="77777777" w:rsidR="004C2710" w:rsidRPr="00BA1EB7" w:rsidRDefault="004C2710" w:rsidP="004C2710">
      <w:pPr>
        <w:tabs>
          <w:tab w:val="left" w:pos="142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Одночасне застосування зі статевими гормонами великої кількості комбінацій інгібіторів ВІЛ-протеази та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ненуклеозидних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інгібіторів зворотної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транскриптази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поєднанні з комбінаціями інгібіторів вірусу гепатиту С може збільшити або зменшити рівень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прогестину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плазмі крові. Сукупний вплив цих змін може бути клінічно значущим у деяких випадках. </w:t>
      </w:r>
    </w:p>
    <w:p w14:paraId="0A11EEEE" w14:textId="77777777" w:rsidR="004C2710" w:rsidRPr="00BA1EB7" w:rsidRDefault="004C2710" w:rsidP="004C271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Речовини, що знижують кліренс статевих гормонів (інгібітори ферментів).</w:t>
      </w:r>
    </w:p>
    <w:p w14:paraId="3A0E8FFF" w14:textId="77777777" w:rsidR="004D5180" w:rsidRPr="00BA1EB7" w:rsidRDefault="004D518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субстратом цитохрому P450 (CYP) 3A4.</w:t>
      </w:r>
    </w:p>
    <w:p w14:paraId="5BB6FC0E" w14:textId="77777777" w:rsidR="004D5180" w:rsidRPr="00BA1EB7" w:rsidRDefault="004D518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Клінічна значущість потенційних взаємодій з інгібіторами ферментів залишається невідомою.</w:t>
      </w:r>
    </w:p>
    <w:p w14:paraId="15F09DCC" w14:textId="77777777" w:rsidR="004D5180" w:rsidRPr="00BA1EB7" w:rsidRDefault="004D518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Одночасне застосування сильних інгібіторів CYP3A4 може збільшувати плазмові концентрації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F30F1C5" w14:textId="3DC22829" w:rsidR="004D5180" w:rsidRPr="00BA1EB7" w:rsidRDefault="004D518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Одночасне застосування із сильним інгібітором ферменту CYP3A4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кетоконазолом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призводило до підвищення у 2,9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раза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AUC (0–24 год)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рівноважному стані. Одночасне застосування з помірним інгібітором еритроміцином призводило до підвищення у 1,6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раза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AUC (0–24 год)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рівноважному стані.</w:t>
      </w:r>
    </w:p>
    <w:p w14:paraId="2C338AE5" w14:textId="6A8298E8" w:rsidR="004C2710" w:rsidRPr="00BA1EB7" w:rsidRDefault="004C2710" w:rsidP="004D51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Вплив 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на інші лікарські засоби</w:t>
      </w:r>
    </w:p>
    <w:p w14:paraId="50644443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результатами досліджень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інгібування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vitro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клінічно значуща взаємодія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іншими препаратами, метаболізм яких опосередковується ферментами цитохрому P450, малоймовірна.</w:t>
      </w:r>
    </w:p>
    <w:p w14:paraId="319BACB6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Взаємодія з харчовими продуктами</w:t>
      </w:r>
    </w:p>
    <w:p w14:paraId="3C3D8AF3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Вживання їжі з високим вмістом жирів не впливало на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біодоступність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0085509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Лабораторні тести</w:t>
      </w:r>
    </w:p>
    <w:p w14:paraId="7AB2FC0E" w14:textId="259D6330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Прийом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прогестогенів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може вплинути на результати деяких лабораторних аналізів, зокрема на біохімічні параметри печінки, щитовидної залози, функції нирок та надниркових залоз, рівень білків (носіїв) у плазмі крові (наприклад, ГЗК та фракції ліпідів/ліпопротеїдів), параметри метаболізму вуглеводів і показники коагуляції та фібринолізу. Зміни зазвичай залишаються у межах лабораторної норми.</w:t>
      </w:r>
    </w:p>
    <w:p w14:paraId="3F7C915C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</w:p>
    <w:p w14:paraId="28E13C08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Особливості застосування.</w:t>
      </w:r>
    </w:p>
    <w:p w14:paraId="63C8CEE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Застереження.</w:t>
      </w:r>
    </w:p>
    <w:p w14:paraId="29B75A00" w14:textId="77910E82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Оскільки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="00A57A0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лікарський засіб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що містить тільки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вважається, що особливі застереження та заходи безпеки щодо застосування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прогестиновмісних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препаратів також стосуються цього </w:t>
      </w:r>
      <w:r w:rsidR="00A57A0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хоча не всі застереження та запобіжні заходи ґрунтуються на відповідних результатах клінічних досліджень саме цієї речовини. </w:t>
      </w:r>
    </w:p>
    <w:p w14:paraId="7A048E29" w14:textId="42ECB03B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погіршенні або першому виникненні будь-якого із зазначених нижче станів/факторів ризику в індивідуальному порядку повинен бути проведений аналіз співвідношення користь/ризик перед початком або продовженням застосування </w:t>
      </w:r>
      <w:r w:rsidR="00A57A0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BCEA4C5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Тяжкі маткові кровотечі</w:t>
      </w:r>
    </w:p>
    <w:p w14:paraId="6193E65E" w14:textId="1C3B42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Маткова кровотеча, наприклад у жінок з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аденоміозом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матки або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лейоміомою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матки, може збільшуватися при застосуванні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 Якщо кровотеча виражена і не припиняється протягом тривалого часу, вона може призвести до анемії (у деяких випадках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до тяжкої). У такому разі потрібно розглянути питання про припинення прийому препарату.</w:t>
      </w:r>
    </w:p>
    <w:p w14:paraId="01F984F6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Зміна характеру кровотечі</w:t>
      </w:r>
    </w:p>
    <w:p w14:paraId="5C6E788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впливає на характер менструальної кровотечі у більшості жінок (див. розділ «Побічні реакції»). </w:t>
      </w:r>
    </w:p>
    <w:p w14:paraId="1513B95B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Циркуляторні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порушення</w:t>
      </w:r>
    </w:p>
    <w:p w14:paraId="30BA9367" w14:textId="66530A3A" w:rsidR="004C2710" w:rsidRPr="00BA1EB7" w:rsidRDefault="00A57A02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Згідно з деякими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ими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епідеміологічних досліджень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існу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зв’яз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ок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між застосуванням препаратів, що містять тільки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і підвищенням ризику розвитку інфаркту міокарда або церебральної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тромбоемболії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Ризик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кардіоваскулярних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церебральних явищ швидше пов’язаний з віком, артеріальною гіпертензією і палінням. У жінок з артеріальною гіпертензією ризик розвитку інсульту дещо збільшу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ється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 застосуванні препаратів, що містять тільки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0B5AADE" w14:textId="5F3B162F" w:rsidR="004C2710" w:rsidRPr="00BA1EB7" w:rsidRDefault="00711EAC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Деякі дослідження 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свідчать про існування певного, проте не статистично значущого збільшення ризику розвитку венозної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тромбоемболії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(тромбоз глибоких вен,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тромбоемболія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легеневої артерії), пов’язаного із застосуванням препаратів, що містять тільки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Загальновизнані фактори, що підвищують ризик виникнення венозної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тромбоемболії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(ВТЕ), включають: особистий або сімейний анамнез (наприклад, випадки ВТЕ у братів чи сестер або батьків у відносно молодому віці); </w:t>
      </w:r>
      <w:r w:rsidR="00A57A0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похилий 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вік; ожиріння, тривалу іммобілізацію, радикальні хірургічні втручання або травми. У випадку тривалої іммобілізації рекомендується припинити застосування </w:t>
      </w:r>
      <w:r w:rsidR="00A57A0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(при планових операціях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щонайменше за 4 тижні до її проведення) і не починати знову його прийом раніше ніж через 2 тижні після повної реабілітації.</w:t>
      </w:r>
    </w:p>
    <w:p w14:paraId="5468AEF5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Необхідно брати до уваги підвищення ризику розвитку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тромбоемболії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післяпологовому періоді.</w:t>
      </w:r>
    </w:p>
    <w:p w14:paraId="4F0CE291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виникнення симптомів венозних та артеріальних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тромботичних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захворювань або підозри на них лікування слід припинити.</w:t>
      </w:r>
    </w:p>
    <w:p w14:paraId="3C5CB9C1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Пухлини</w:t>
      </w:r>
    </w:p>
    <w:p w14:paraId="4C4EFC3A" w14:textId="472B9A52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Дані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метааналізу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54 епідеміологічних досліджень вказують на незначне підвищення відносного ризику (ВР = 1,24) розвитку раку молочної залози у жінок, які застосовують оральні контрацептиви (ОК), головним чином ті, що містять естроген-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Цей підвищений ризик поступово зникає протягом 10 років після закінчення прийому комбінованих оральних контрацептивів (КОК). Оскільки рак молочної залози у жінок віком до 40 років зустрічається рідко, збільшення кількості випадків діагностики раку молочної залози у жінок, </w:t>
      </w:r>
      <w:bookmarkStart w:id="0" w:name="OLE_LINK3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які застосовують</w:t>
      </w:r>
      <w:bookmarkEnd w:id="0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нещодавно застосовували КОК, є незначним щодо загального ризику раку молочної залози. Існує однаковий ризик виявлення раку молочної залози у жінок, які приймали препарати, що містять тільки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або КОК. Однак </w:t>
      </w:r>
      <w:r w:rsidR="00F8118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дані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</w:t>
      </w:r>
      <w:r w:rsidR="00F8118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препаратів, які містять тільки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711EAC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отриман</w:t>
      </w:r>
      <w:r w:rsidR="00F8118C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711EAC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 набагато меншої кількості жінок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які їх застосовують, тому вон</w:t>
      </w:r>
      <w:r w:rsidR="00F8118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менш переконлив</w:t>
      </w:r>
      <w:r w:rsidR="00F8118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ніж дані, що стосуються КОК. Результати цих досліджень не надають доказів існування причинного зв’язку. Підвищення ризику може бути зумовлене як більш ранньою діагностикою раку молочної залози у жінок, які застосовують ОК, так і біологічною дією цих препаратів, або поєднанням обох факторів. Відзначено тенденцію, що рак молочної залози, виявлений у жінок, які коли-небудь приймали ОК, клінічно менш виражений, ніж у тих, хто ніколи не застосовував ОК.</w:t>
      </w:r>
    </w:p>
    <w:p w14:paraId="0D2F121E" w14:textId="4B6D6870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поодиноких випадках у жінок, які застосовували гормональні речовини, подібні до тієї, що містить </w:t>
      </w:r>
      <w:r w:rsidR="00900F15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лікарський засіб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спостерігалися доброякісні, а ще рідше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8B2832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злоякісні пухлини печінки, які в окремих випадках призводили до небезпечної для життя внутрішньочеревної кровотечі. У випадку виникнення скарг на сильний біль в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епігастральній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ділянці, збільшення печінки або появи ознак внутрішньочеревної кровотечі при диференційній діагностиці слід враховувати можливість наявності пухлини печінки у жінок, які приймають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D6DBA0E" w14:textId="4613FBC4" w:rsidR="00711EAC" w:rsidRPr="00BA1EB7" w:rsidRDefault="004C2710" w:rsidP="00711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Остеопороз</w:t>
      </w:r>
      <w:r w:rsidR="006845D5"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. </w:t>
      </w:r>
      <w:r w:rsidR="00711EAC" w:rsidRPr="00BA1E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Зміни мінеральної щільності кісткової тканини (МЩКТ)</w:t>
      </w:r>
    </w:p>
    <w:p w14:paraId="25878BE5" w14:textId="6FFFFFCB" w:rsidR="00711EAC" w:rsidRPr="00BA1EB7" w:rsidRDefault="00711EAC" w:rsidP="00711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Застосування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підліткам (12–18 років) протягом періоду лікування 12 місяців асоціювалося зі зниженням середнього значення МЩКТ у поперековому відділі хребта (L2–L4) на 1,2 %. Після припинення лікування МЩКТ підвищувалася знову у цих пацієнтів.</w:t>
      </w:r>
    </w:p>
    <w:p w14:paraId="5C0E9DBE" w14:textId="0D993169" w:rsidR="00711EAC" w:rsidRPr="00BA1EB7" w:rsidRDefault="00711EAC" w:rsidP="00711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Середня відносна зміна МЩКТ від вихідних показників до закінчення лікування становила 1,2 % з діапазоном між </w:t>
      </w:r>
      <w:r w:rsidR="008B2832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6 % </w:t>
      </w:r>
      <w:r w:rsidR="006845D5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5 % (95 </w:t>
      </w:r>
      <w:r w:rsidR="006845D5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% ДІ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 </w:t>
      </w:r>
      <w:r w:rsidR="006845D5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8B2832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1,70 </w:t>
      </w:r>
      <w:r w:rsidR="006845D5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8B2832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0,78, n</w:t>
      </w:r>
      <w:r w:rsidR="006845D5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=</w:t>
      </w:r>
      <w:r w:rsidR="006845D5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103). Повторне вимірювання через 6 місяців після закінчення лікування у підгрупі зі зниженими значеннями МЩКТ показало тенденцію до відновлення (середня відносна зміна від вихідних показників: </w:t>
      </w:r>
      <w:r w:rsidR="008B2832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2,3 % при закінченні лікування та </w:t>
      </w:r>
      <w:r w:rsidR="006E75C4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0,6 % через 6 місяців після закінчення лікування з діапазоном між </w:t>
      </w:r>
      <w:r w:rsidR="008B2832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9 % 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6 % (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95 %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ДІ: 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8B2832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1,20 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0,06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n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=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60)</w:t>
      </w:r>
      <w:r w:rsidR="006E75C4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 w:rsidR="00525731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5E68B1E" w14:textId="1548F102" w:rsidR="004C2710" w:rsidRPr="00BA1EB7" w:rsidRDefault="00711EAC" w:rsidP="00711E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Порушення мінеральної щільності кісткової тканини </w:t>
      </w:r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має особливе значення у підлітковому віці та у ранній період статевого дозрівання, критичний період росту кісток. Невідомо, чи зменшить пікову кісткову масу </w:t>
      </w:r>
      <w:r w:rsidR="00485883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і</w:t>
      </w:r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підвищить ризик перелому кісток у літньому віці зниження МЩКТ у цій популяції (див. розділи «Фармакологічні</w:t>
      </w:r>
      <w:r w:rsidR="004C2710" w:rsidRPr="00BA1E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властивості» та «Діти»).</w:t>
      </w:r>
    </w:p>
    <w:p w14:paraId="7873BA70" w14:textId="3EF6B36C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Перед початком лікування лікарю слід зважити переваги застосування </w:t>
      </w:r>
      <w:proofErr w:type="spellStart"/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485883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і</w:t>
      </w:r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можливі ризики застосування для кожного окремого </w:t>
      </w:r>
      <w:proofErr w:type="spellStart"/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підлітка</w:t>
      </w:r>
      <w:proofErr w:type="spellEnd"/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враховуючи також наявність суттєвих факторів ризику остеопорозу.</w:t>
      </w:r>
    </w:p>
    <w:p w14:paraId="0AC451E7" w14:textId="139BE2AA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Адекватне застосування кальцію та вітаміну D при дієтичному харчуванні або при застосуванні харчових добавок є важливим для здорового стану кісткової тканини у жінок усіх вікових категорі</w:t>
      </w:r>
      <w:r w:rsidR="006E75C4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й</w:t>
      </w:r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.</w:t>
      </w:r>
    </w:p>
    <w:p w14:paraId="2886BE19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Не спостерігалося зниження МЩКТ у дорослих (див. розділ «Фармакологічні властивості»).</w:t>
      </w:r>
    </w:p>
    <w:p w14:paraId="7261244F" w14:textId="019F5749" w:rsidR="00DD3AAF" w:rsidRPr="00BA1EB7" w:rsidRDefault="00DD3AAF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 пацієнток, які 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мають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підвищен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ий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ризик розвитку остеопорозу, до початку лікування 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треба провести ретельну оцінку співвідношення ризик/користь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оскільки </w:t>
      </w:r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 час застосування лікарського засобу </w:t>
      </w:r>
      <w:proofErr w:type="spellStart"/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Мітрен</w:t>
      </w:r>
      <w:proofErr w:type="spellEnd"/>
      <w:r w:rsidR="00485883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рівень ендогенних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естрогенів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помірно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знижується (див. розділ «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Фармакодинаміка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»).</w:t>
      </w:r>
    </w:p>
    <w:p w14:paraId="54377AE1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Інші стани</w:t>
      </w:r>
    </w:p>
    <w:p w14:paraId="6F71F39C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станом пацієнток із депресією в анамнезі слід ретельно спостерігати і припинити застосування препарату при розвитку виражених проявів депресії.</w:t>
      </w:r>
    </w:p>
    <w:p w14:paraId="019B9AC4" w14:textId="795990A1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зазвичай не впливає на артеріальний тиск 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нормотензивних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жінок. Проте, якщо тривала, клінічно виражена артеріальна гіпертензія виникає під час застосування </w:t>
      </w:r>
      <w:r w:rsidR="004D71D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лікарського  засобу </w:t>
      </w:r>
      <w:proofErr w:type="spellStart"/>
      <w:r w:rsidR="004D71D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рекомендується </w:t>
      </w:r>
      <w:r w:rsidR="004D71D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його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відмінити та лікувати артеріальну гіпертензію.</w:t>
      </w:r>
    </w:p>
    <w:p w14:paraId="498D04A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рецидиві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холестатичної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жовтяниці та/або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свербежу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що виникали у період вагітності або попереднього застосування статевих гормонів, застосування препарату слід припинити. </w:t>
      </w:r>
    </w:p>
    <w:p w14:paraId="41F958E2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може мати незначний вплив на периферичну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інсулінорезистентність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толерантність до глюкози. Жінки, хворі на цукровий діабет, особливо з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гестаційним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цукровим діабетом в анамнезі, повинні ретельно обстежуватися протягом застосування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15D3BAF5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Іноді може розвиватися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хлоазма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особливо у жінок з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хлоазмою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вагітних в анамнезі. Жінки, схильні до виникнення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хлоазми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повинні уникати дії прямих сонячних променів або ультрафіолетового випромінювання під час прийому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6B80F35" w14:textId="76DF1AB4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Імовірність позаматкової вагітності у жінок, які застосовують для контрацепції препарати, що містять тільки </w:t>
      </w:r>
      <w:proofErr w:type="spellStart"/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прогестоген</w:t>
      </w:r>
      <w:proofErr w:type="spellEnd"/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вища, ніж у жінок, які застосовують КОК. Тому жін</w:t>
      </w:r>
      <w:r w:rsidR="004D71DC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кам</w:t>
      </w:r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з позаматковою вагітністю в анамнезі або порушеннями функції маткових труб </w:t>
      </w:r>
      <w:r w:rsidR="004D71DC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призначати</w:t>
      </w:r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слід тільки після ретельної оцінки співвідношення користь/ризик.</w:t>
      </w:r>
    </w:p>
    <w:p w14:paraId="0E2C6C07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застосування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може виникати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персистенція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фолікулів (часто зазначається як функціональні кісти яєчників). Більшість цих фолікулів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безсимптомні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хоча деякі можуть супроводжуватися болем у ділянці таза.</w:t>
      </w:r>
    </w:p>
    <w:p w14:paraId="5939011D" w14:textId="5C5F2E7B" w:rsidR="004C2710" w:rsidRPr="00BA1EB7" w:rsidRDefault="004D71DC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н</w:t>
      </w:r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е </w:t>
      </w:r>
      <w:r w:rsidR="00DD3AA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використовується </w:t>
      </w:r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у геріатричній практиці.</w:t>
      </w:r>
    </w:p>
    <w:p w14:paraId="7AEC94B1" w14:textId="77777777" w:rsidR="004C2710" w:rsidRPr="00BA1EB7" w:rsidRDefault="004C2710" w:rsidP="004C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Лактоза</w:t>
      </w:r>
    </w:p>
    <w:p w14:paraId="61113E5D" w14:textId="3915D6E3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Одна таблетка </w:t>
      </w:r>
      <w:r w:rsidR="004D71D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містить 60,93 мг лактози моногідрату. Пацієнти з рідкісними спадковими захворюваннями, пов’язаними з непереносимістю галактози, дефіцитом лактази або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мальабсорбцією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глюкози-галактози, які дотримуються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безлактозної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дієти, повинні враховувати кількість цієї речовини у таблетці </w:t>
      </w:r>
      <w:r w:rsidR="004D71DC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D925D8F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1C26BF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Застосування у період вагітності або годування груддю.</w:t>
      </w:r>
    </w:p>
    <w:p w14:paraId="0A07212A" w14:textId="49B2754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/>
        </w:rPr>
        <w:t>Вагітність</w:t>
      </w:r>
      <w:r w:rsidR="004D71DC" w:rsidRPr="00BA1EB7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/>
        </w:rPr>
        <w:t xml:space="preserve"> </w:t>
      </w:r>
    </w:p>
    <w:p w14:paraId="4E900F70" w14:textId="01607E68" w:rsidR="004C2710" w:rsidRPr="00BA1EB7" w:rsidRDefault="004D71DC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ані щодо застосування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вагітним жінкам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обмежені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 Дослідження на тваринах не вказують на прям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непрям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репродуктивн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токсичн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ість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(див. розділ «Фармакологічні властивості»). </w:t>
      </w:r>
    </w:p>
    <w:p w14:paraId="07AD2AF6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рекомендується застосовувати вагітним жінкам, тому що немає потреби лікувати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ендометріоз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період вагітності. </w:t>
      </w:r>
    </w:p>
    <w:p w14:paraId="1955C8BB" w14:textId="414FA6DF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/>
        </w:rPr>
        <w:t>Період годування груддю</w:t>
      </w:r>
      <w:r w:rsidR="00AA7FED" w:rsidRPr="00BA1EB7">
        <w:rPr>
          <w:rFonts w:asciiTheme="majorHAnsi" w:eastAsia="Times New Roman" w:hAnsiTheme="majorHAnsi" w:cstheme="majorHAnsi"/>
          <w:i/>
          <w:sz w:val="20"/>
          <w:szCs w:val="20"/>
          <w:lang w:val="uk-UA"/>
        </w:rPr>
        <w:t xml:space="preserve"> </w:t>
      </w:r>
    </w:p>
    <w:p w14:paraId="0B026B9A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період годування груддю не рекомендується. Невідомо, чи проникає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грудне молоко жінки. Дані, отримані у процесі досліджень на тваринах, вказують на проникнення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грудне молоко. Слід прийняти рішення про припинення годування груддю або припинення терапії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беручи до уваги користь годування груддю для дитини і необхідність терапії для жінки.</w:t>
      </w:r>
    </w:p>
    <w:p w14:paraId="76E6B93A" w14:textId="27C19D0B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/>
        </w:rPr>
        <w:t>Фертильність</w:t>
      </w:r>
      <w:r w:rsidR="00AA7FED" w:rsidRPr="00BA1EB7">
        <w:rPr>
          <w:rFonts w:asciiTheme="majorHAnsi" w:eastAsia="Times New Roman" w:hAnsiTheme="majorHAnsi" w:cstheme="majorHAnsi"/>
          <w:i/>
          <w:sz w:val="20"/>
          <w:szCs w:val="20"/>
          <w:lang w:val="uk-UA"/>
        </w:rPr>
        <w:t xml:space="preserve"> </w:t>
      </w:r>
    </w:p>
    <w:p w14:paraId="0C5CCE73" w14:textId="3B47745C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підставі наявних даних можна стверджувати, що під час лікування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більшості пацієнток інгібується овуляція. Однак </w:t>
      </w:r>
      <w:r w:rsidR="00AA7FED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лікарський засіб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є протизаплідним засобом.</w:t>
      </w:r>
    </w:p>
    <w:p w14:paraId="5F68C64D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Якщо потрібна контрацепція, слід додатково застосовувати негормональний метод запобігання вагітності (див. розділ «Спосіб застосування та дози»).</w:t>
      </w:r>
    </w:p>
    <w:p w14:paraId="518C5E79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підставі наявних даних можна стверджувати, що менструальний цикл повертається до норми протягом 2 місяців після припинення лікування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1113462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0"/>
          <w:lang w:val="uk-UA" w:eastAsia="ru-RU"/>
        </w:rPr>
      </w:pPr>
    </w:p>
    <w:p w14:paraId="5C1340B5" w14:textId="77777777" w:rsidR="004C2710" w:rsidRPr="00BA1EB7" w:rsidRDefault="004C2710" w:rsidP="00AA7FE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Здатність впливати на швидкість реакції при керуванні автотранспортом або іншими механізмами.</w:t>
      </w:r>
    </w:p>
    <w:p w14:paraId="69A646E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Не спостерігали впливу на здатність керувати автотранспортом та управляти механізмами у пацієнток, які приймали препарати, що містять </w:t>
      </w:r>
      <w:proofErr w:type="spellStart"/>
      <w:r w:rsidRPr="00BA1E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дієногест</w:t>
      </w:r>
      <w:proofErr w:type="spellEnd"/>
      <w:r w:rsidRPr="00BA1E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2AFBF6DF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F3A9DC2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Спосіб застосування та дози.</w:t>
      </w:r>
    </w:p>
    <w:p w14:paraId="26C2DFAA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Спосіб застосування</w:t>
      </w:r>
    </w:p>
    <w:p w14:paraId="1D0B3B7A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Для перорального застосування.</w:t>
      </w:r>
    </w:p>
    <w:p w14:paraId="52F56C12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Дозування</w:t>
      </w:r>
    </w:p>
    <w:p w14:paraId="2C3FC396" w14:textId="1F22CDA8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Приймати по 1 таблетці щодня без перерви приблизно в один і той же час, запиваючи невеликою кількістю рідини. Таблетки можна приймати незалежно від вживання їжі.</w:t>
      </w:r>
    </w:p>
    <w:p w14:paraId="253F0B30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Таблетки слід приймати регулярно, незалежно від менструальної кровотечі. Як тільки таблетки з однієї упаковки закінчилися, починати приймати таблетки з наступної упаковки, не роблячи перерви у застосуванні лікарського засобу.</w:t>
      </w:r>
    </w:p>
    <w:p w14:paraId="68D6E084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Прийом препарату можна розпочати у будь-який день менструального циклу.</w:t>
      </w:r>
    </w:p>
    <w:p w14:paraId="16701547" w14:textId="5A0F113D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Застосування будь-яких гормональних контрацептивів слід припинити перед початком терапії </w:t>
      </w:r>
      <w:r w:rsidR="00DB4339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лікарським засобом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 Якщо необхідна контрацепція, слід додатково застосовувати негормональний метод запобігання вагітності (наприклад, бар’єрний метод).</w:t>
      </w:r>
    </w:p>
    <w:p w14:paraId="64ECF8CB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Пропуск прийому лікарського засобу</w:t>
      </w:r>
    </w:p>
    <w:p w14:paraId="72115FD5" w14:textId="10765CE9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випадку пропуску прийому таблетки, блювання та/або діареї (які мали місце протягом </w:t>
      </w:r>
      <w:r w:rsidR="006E75C4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6E75C4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7C0169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годин після прийому таблетки), ефективність </w:t>
      </w:r>
      <w:r w:rsidR="00DB4339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може зменшитися. У разі пропуску прийому однієї або кількох таблеток першу таблетку слід прийняти, як тільки жінка згадає про це, а наступну приймати у звичний час. Аналогічно таблетку, що не всмокталася через блювання або діарею, слід замінити на іншу таблетку.</w:t>
      </w:r>
    </w:p>
    <w:p w14:paraId="1F965149" w14:textId="243C2E11" w:rsidR="004C2710" w:rsidRPr="00BA1EB7" w:rsidRDefault="00DB4339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З</w:t>
      </w:r>
      <w:r w:rsidR="004C2710" w:rsidRPr="00BA1EB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астосування в особливих групах пацієнтів</w:t>
      </w:r>
    </w:p>
    <w:p w14:paraId="64B92E5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Пацієнти літнього віку</w:t>
      </w:r>
    </w:p>
    <w:p w14:paraId="2F34A59D" w14:textId="1DF17F1C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Немає відповідних показань для застосування </w:t>
      </w:r>
      <w:r w:rsidR="00DB4339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лікарського засобу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пацієнткам цієї групи.</w:t>
      </w:r>
    </w:p>
    <w:p w14:paraId="11C24D3B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Печінкова недостатність</w:t>
      </w:r>
    </w:p>
    <w:p w14:paraId="66199810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Препарат протипоказаний пацієнткам із тяжким захворюванням печінки нині або в анамнезі (див. розділ «Протипоказання»).</w:t>
      </w:r>
    </w:p>
    <w:p w14:paraId="7EEB9086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val="uk-UA"/>
        </w:rPr>
      </w:pPr>
      <w:r w:rsidRPr="00BA1EB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Ниркова недостатність</w:t>
      </w:r>
    </w:p>
    <w:p w14:paraId="2E146868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Немає жодних даних, що свідчать про потребу в корекції дози для пацієнток з нирковою недостатністю.</w:t>
      </w:r>
    </w:p>
    <w:p w14:paraId="5FF61DD8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14:paraId="7FE3CCEB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Діти.</w:t>
      </w:r>
    </w:p>
    <w:p w14:paraId="61395153" w14:textId="0957B8C8" w:rsidR="004C2710" w:rsidRPr="00BA1EB7" w:rsidRDefault="00DB4339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Лікарський засіб </w:t>
      </w:r>
      <w:proofErr w:type="spellStart"/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Мітрен</w:t>
      </w:r>
      <w:proofErr w:type="spellEnd"/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не показаний для застосування дітям до настання менархе.</w:t>
      </w:r>
    </w:p>
    <w:p w14:paraId="68FEC012" w14:textId="38603112" w:rsidR="00B433F4" w:rsidRPr="00BA1EB7" w:rsidRDefault="00B433F4" w:rsidP="00B433F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Безпеку та ефективність застосування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вивчали у ході неконтрольованого дослідження тривалістю 12 місяців у 111 пацієнток підліткового віку (12</w:t>
      </w:r>
      <w:r w:rsidR="006E75C4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&lt;18 років) з клінічно підозрюваним або підтвердженим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ендометріозом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(див. розділи «Особливості застосування» та «Фармакологічні властивості»).</w:t>
      </w:r>
    </w:p>
    <w:p w14:paraId="6EF1C407" w14:textId="078A503A" w:rsidR="004C2710" w:rsidRPr="00BA1EB7" w:rsidRDefault="00B433F4" w:rsidP="00B43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Ефективність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була продемонстрована </w:t>
      </w:r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при лікуванні </w:t>
      </w:r>
      <w:proofErr w:type="spellStart"/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ендометріозу</w:t>
      </w:r>
      <w:proofErr w:type="spellEnd"/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асоційованого з тазовим болем, у підлітків (12</w:t>
      </w:r>
      <w:r w:rsidR="004C2710" w:rsidRPr="00BA1EB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18 років) із загальним сприятливим профілем безпеки та переносимості лікарського засобу.</w:t>
      </w:r>
    </w:p>
    <w:p w14:paraId="67382176" w14:textId="6A4D637A" w:rsidR="00B433F4" w:rsidRPr="00BA1EB7" w:rsidRDefault="00B433F4" w:rsidP="00B4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Застосування </w:t>
      </w:r>
      <w:proofErr w:type="spellStart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 підлітків протягом періоду лікування 12 місяців асоціювалося зі зниженням середнього значення мінеральної щільності кісткової тканини (МЩКТ) у поперековому відділі хребта на 1,2 %. Після припинення лікування МЩКТ підвищувалася знову у цих пацієнтів.</w:t>
      </w:r>
    </w:p>
    <w:p w14:paraId="6F6891C4" w14:textId="3CD7AF4C" w:rsidR="00B433F4" w:rsidRPr="00BA1EB7" w:rsidRDefault="00B433F4" w:rsidP="00B4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Порушення мінеральної щільності кісткової тканини має особлив</w:t>
      </w:r>
      <w:r w:rsidR="00E05244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значення у підлітковому віці та у ранньому періоді статевого дозрівання, критичному періоді росту кісток. Невідомо, чи зменшить пікову кісткову масу та підвищить ризик перелому кісток у </w:t>
      </w:r>
      <w:r w:rsidR="00E05244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похилому</w:t>
      </w: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віці зниження МЩКТ у цій популяції.</w:t>
      </w:r>
    </w:p>
    <w:p w14:paraId="4BFA2971" w14:textId="083B7DCE" w:rsidR="004C2710" w:rsidRPr="00BA1EB7" w:rsidRDefault="00B433F4" w:rsidP="00B43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Тому </w:t>
      </w:r>
      <w:r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л</w:t>
      </w:r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ікарю слід зважити переваги застосування </w:t>
      </w:r>
      <w:proofErr w:type="spellStart"/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дієногесту</w:t>
      </w:r>
      <w:proofErr w:type="spellEnd"/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та можливі ризики застосування для кожного окремого </w:t>
      </w:r>
      <w:proofErr w:type="spellStart"/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підлітка</w:t>
      </w:r>
      <w:proofErr w:type="spellEnd"/>
      <w:r w:rsidR="004C2710" w:rsidRPr="00BA1EB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(див. розділи «Фармакологічні властивості», «Особливості застосування»).</w:t>
      </w:r>
    </w:p>
    <w:p w14:paraId="561BBDE2" w14:textId="77777777" w:rsidR="00EE001A" w:rsidRPr="00BA1EB7" w:rsidRDefault="00EE001A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14:paraId="5114C1D7" w14:textId="57A4534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Передозування.</w:t>
      </w:r>
    </w:p>
    <w:p w14:paraId="245D4846" w14:textId="2B128573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Дослідження гострої токсичності, проведені з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не вказували на ризик розвитку гострих побічних реакцій у випадку ненавмисного прийому кількох добових терапевтичних доз. Жодних специфічних антидотів не існує. Застосування 20</w:t>
      </w:r>
      <w:r w:rsidR="001D4BA4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30 мг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добу (що у 10</w:t>
      </w:r>
      <w:r w:rsidR="001D4BA4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 разів вище, ніж доза в таблетці </w:t>
      </w:r>
      <w:r w:rsidR="001D4BA4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лікарського засобу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Мітрен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) упродовж більше 24 тижнів переносили дуже добре.</w:t>
      </w:r>
    </w:p>
    <w:p w14:paraId="29AA5FE0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</w:p>
    <w:p w14:paraId="082CE1E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Побічні реакції.</w:t>
      </w:r>
    </w:p>
    <w:p w14:paraId="3CE41ADD" w14:textId="7D8349F8" w:rsidR="004C2710" w:rsidRPr="00BA1EB7" w:rsidRDefault="004C2710" w:rsidP="004C2710">
      <w:p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 w:eastAsia="de-DE"/>
        </w:rPr>
      </w:pPr>
      <w:r w:rsidRPr="00BA1EB7">
        <w:rPr>
          <w:rFonts w:ascii="Times New Roman" w:hAnsi="Times New Roman"/>
          <w:sz w:val="24"/>
          <w:szCs w:val="24"/>
          <w:lang w:val="uk-UA" w:eastAsia="de-DE"/>
        </w:rPr>
        <w:t xml:space="preserve">Побічні реакції описано згідно з </w:t>
      </w:r>
      <w:proofErr w:type="spellStart"/>
      <w:r w:rsidRPr="00BA1EB7">
        <w:rPr>
          <w:rFonts w:ascii="Times New Roman" w:hAnsi="Times New Roman"/>
          <w:sz w:val="24"/>
          <w:szCs w:val="24"/>
          <w:lang w:val="uk-UA" w:eastAsia="de-DE"/>
        </w:rPr>
        <w:t>MedDRA</w:t>
      </w:r>
      <w:proofErr w:type="spellEnd"/>
      <w:r w:rsidR="00843326" w:rsidRPr="00BA1EB7">
        <w:rPr>
          <w:rFonts w:ascii="Times New Roman" w:hAnsi="Times New Roman"/>
          <w:sz w:val="24"/>
          <w:szCs w:val="24"/>
          <w:lang w:val="uk-UA" w:eastAsia="de-DE"/>
        </w:rPr>
        <w:t xml:space="preserve"> [Медичний словник для регуляторної діяльності]</w:t>
      </w:r>
      <w:r w:rsidRPr="00BA1EB7">
        <w:rPr>
          <w:rFonts w:ascii="Times New Roman" w:hAnsi="Times New Roman"/>
          <w:sz w:val="24"/>
          <w:szCs w:val="24"/>
          <w:lang w:val="uk-UA" w:eastAsia="de-DE"/>
        </w:rPr>
        <w:t xml:space="preserve">. </w:t>
      </w:r>
    </w:p>
    <w:p w14:paraId="15E75AFE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uk-UA"/>
        </w:rPr>
        <w:t>Побічні реакції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найчастіше розвиваються протягом перших місяців застосування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зникають у процесі лікування. Можуть спостерігатися зміни характеру кровотеч, такі як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кровомазання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, нерегулярні кровотечі або аменорея.</w:t>
      </w:r>
    </w:p>
    <w:p w14:paraId="679A796B" w14:textId="5602AB63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Побічні явища, про які найчастіше повідомляли під час лікування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включають головний біль (9,0 %), дискомфорт у молочних залозах (5,4 %), пригнічений настрій (5,1 %) і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акне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(5,1 %). </w:t>
      </w:r>
    </w:p>
    <w:p w14:paraId="2C30F216" w14:textId="6E8FC16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Крім того, лікування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впливає на характер менструальних кровотеч у більшості жінок. Характер менструальних кровотеч оцінювали систематично із використанням щоденників пацієнток та аналізували із застосуванням методу ВО</w:t>
      </w:r>
      <w:r w:rsidR="00843326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BA1EB7">
        <w:rPr>
          <w:rFonts w:asciiTheme="majorHAnsi" w:eastAsia="Times New Roman" w:hAnsiTheme="majorHAnsi" w:cstheme="majorHAnsi"/>
          <w:i/>
          <w:iCs/>
          <w:sz w:val="20"/>
          <w:szCs w:val="20"/>
          <w:lang w:val="uk-UA"/>
        </w:rPr>
        <w:t xml:space="preserve"> 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90-денного звітного періоду. Протягом перших 90 днів терапії препаратом спостерігали такі характери кровотеч: аменорея (1,7 %), нечасті кровотечі (27,2 %), часті кровотечі (13,4 %), нерегулярні кровотечі (35,2 %), тривалі кровотечі (38,3 %), нормальна менструальна кровотеча, тобто жодна з попередніх категорій (19,7</w:t>
      </w:r>
      <w:r w:rsidR="00142F5A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 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%). Протягом четвертого звітного періоду спостерігалися </w:t>
      </w:r>
      <w:r w:rsidR="00843326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такі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характери кровотеч: аменорея (28,2 %), нечасті кровотечі (24,2 %), часті кровотечі (2,7 %), нерегулярні кровотечі (21,5 %), тривалі кровотечі (4,0 %), нормальна менструальна кровотеча, тобто яка не належить до жодної з попередніх категорій (22,8 %). Лише іноді повідомляли про зміни характеру менструальних кровотеч як про побічні реакції у пацієнток (див. таблицю побічних реакцій).</w:t>
      </w:r>
    </w:p>
    <w:p w14:paraId="370AE249" w14:textId="0D22613D" w:rsidR="004C2710" w:rsidRPr="00BA1EB7" w:rsidRDefault="00843326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Нижче у</w:t>
      </w:r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таблиці зазначені побічні реакції, про які повідомляли під час лікування </w:t>
      </w:r>
      <w:proofErr w:type="spellStart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дієногестом</w:t>
      </w:r>
      <w:proofErr w:type="spellEnd"/>
      <w:r w:rsidR="004C2710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та їх частота. </w:t>
      </w:r>
      <w:r w:rsidR="00D95CEF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Частота визначена на підставі об’єднаних даних чотирьох клінічних досліджень за участю 332 пацієнток (100 %).</w:t>
      </w:r>
      <w:r w:rsidR="00136434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межах кожної групи побічні ефекти зазначені у порядку зменшення частоти.</w:t>
      </w:r>
    </w:p>
    <w:p w14:paraId="3797E99B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6"/>
          <w:lang w:val="uk-UA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3121"/>
        <w:gridCol w:w="3687"/>
      </w:tblGrid>
      <w:tr w:rsidR="004C2710" w:rsidRPr="00BA1EB7" w14:paraId="49B1A5C9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A60A" w14:textId="77777777" w:rsidR="004C2710" w:rsidRPr="00BA1EB7" w:rsidRDefault="004C2710" w:rsidP="0007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Системи органів (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MedDRA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9399" w14:textId="77777777" w:rsidR="00136434" w:rsidRPr="00BA1EB7" w:rsidRDefault="004C2710" w:rsidP="0007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Часто</w:t>
            </w:r>
            <w:r w:rsidR="00136434"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393B974" w14:textId="276FAD00" w:rsidR="004C2710" w:rsidRPr="00BA1EB7" w:rsidRDefault="00136434" w:rsidP="0007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(від ≥ 1/100 до &lt;1/10)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3647" w14:textId="77777777" w:rsidR="00136434" w:rsidRPr="00BA1EB7" w:rsidRDefault="004C2710" w:rsidP="0007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Нечасто</w:t>
            </w:r>
            <w:r w:rsidR="00136434"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53E7F98" w14:textId="4EC709B5" w:rsidR="004C2710" w:rsidRPr="00BA1EB7" w:rsidRDefault="00136434" w:rsidP="0007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(від ≥ 1/1000 до &lt;1/100)</w:t>
            </w:r>
          </w:p>
        </w:tc>
      </w:tr>
      <w:tr w:rsidR="004C2710" w:rsidRPr="00BA1EB7" w14:paraId="4BE386DF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F95E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системи крові та лімфатичної системи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73D2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35FA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анемія </w:t>
            </w:r>
          </w:p>
        </w:tc>
      </w:tr>
      <w:tr w:rsidR="004C2710" w:rsidRPr="00BA1EB7" w14:paraId="4BE2F368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E4B0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метаболізму та порушення обміну речовин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1F4F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підвищення маси тіла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FEC7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зниження маси тіла, підвищений апетит</w:t>
            </w:r>
          </w:p>
        </w:tc>
      </w:tr>
      <w:tr w:rsidR="004C2710" w:rsidRPr="00BA1EB7" w14:paraId="59F5F7BA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B1D3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Психічні розлади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CBB7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пригнічений настрій, порушення сну, нервозність, зниження лібідо, зміни настрою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D9B7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занепокоєння, депресія, лабільність настрою</w:t>
            </w:r>
          </w:p>
        </w:tc>
      </w:tr>
      <w:tr w:rsidR="004C2710" w:rsidRPr="00BA1EB7" w14:paraId="762447A3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87E4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боку нервової системи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1BA9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біль, мігрень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D01A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порушення вегетативної регуляції, порушення уваги</w:t>
            </w:r>
          </w:p>
        </w:tc>
      </w:tr>
      <w:tr w:rsidR="004C2710" w:rsidRPr="00BA1EB7" w14:paraId="716998A8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4261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органів зору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159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DB57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сухість очей</w:t>
            </w:r>
          </w:p>
        </w:tc>
      </w:tr>
      <w:tr w:rsidR="004C2710" w:rsidRPr="00BA1EB7" w14:paraId="01B943ED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4F34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органів слуху та вестибулярного апарату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6692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9914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дзвін у вухах</w:t>
            </w:r>
          </w:p>
        </w:tc>
      </w:tr>
      <w:tr w:rsidR="004C2710" w:rsidRPr="00BA1EB7" w14:paraId="6C9CE34A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7C4B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серця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0EA2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2EFA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неспецифічні 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циркуляторні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розлади, посилене серцебиття </w:t>
            </w:r>
          </w:p>
        </w:tc>
      </w:tr>
      <w:tr w:rsidR="004C2710" w:rsidRPr="00BA1EB7" w14:paraId="78171282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901C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судин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E8E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6C5D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артеріальна 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гіпотензія</w:t>
            </w:r>
            <w:proofErr w:type="spellEnd"/>
          </w:p>
        </w:tc>
      </w:tr>
      <w:tr w:rsidR="004C2710" w:rsidRPr="00BA1EB7" w14:paraId="5806B3E2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06A1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боку дихальної системи, органів грудної клітки та середостіння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CA4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845C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диспное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C2710" w:rsidRPr="00BA1EB7" w14:paraId="5DBF708E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C5B0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шлунково-кишкового тракту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A996" w14:textId="77777777" w:rsidR="004C2710" w:rsidRPr="00BA1EB7" w:rsidRDefault="004C2710" w:rsidP="000754F3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нудота, біль у животі, метеоризм, здуття живота, блювання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9F41" w14:textId="77777777" w:rsidR="004C2710" w:rsidRPr="00BA1EB7" w:rsidRDefault="004C2710" w:rsidP="000754F3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діарея, запор, дискомфорт у черевній порожнині, запалення шлунково-кишкового тракту, гінгівіт </w:t>
            </w:r>
          </w:p>
        </w:tc>
      </w:tr>
      <w:tr w:rsidR="004C2710" w:rsidRPr="009162B8" w14:paraId="32CA0141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DFAA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шкіри та підшкірної клітковини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3BB3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акне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алопеція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0BAE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сухість шкіри, гіпергідроз, свербіж, гірсутизм, 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оніхоклазія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лупа, дерматит, порушення росту волосся, реакції 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фоточутливості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зміни пігментації </w:t>
            </w:r>
          </w:p>
        </w:tc>
      </w:tr>
      <w:tr w:rsidR="004C2710" w:rsidRPr="009162B8" w14:paraId="6FADF624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FBF3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опорно-рухової системи та сполучної тканини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4AE2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біль у спині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7D05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біль у кістках, м’язові судоми, біль у кінцівках, відчуття тяжкості у кінцівках </w:t>
            </w:r>
          </w:p>
        </w:tc>
      </w:tr>
      <w:tr w:rsidR="004C2710" w:rsidRPr="00BA1EB7" w14:paraId="54D2DCFE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AE4C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нирок та сечовидільної системи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71D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16F7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інфекції сечовивідних шляхів</w:t>
            </w:r>
          </w:p>
        </w:tc>
      </w:tr>
      <w:tr w:rsidR="004C2710" w:rsidRPr="009162B8" w14:paraId="6CA64A42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DF41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боку репродуктивної системи та молочних залоз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986D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дискомфорт у молочних залозах, кіста яєчників, припливи, маткові/ вагінальні кровотечі, </w:t>
            </w:r>
          </w:p>
          <w:p w14:paraId="49D5894E" w14:textId="0DB3A10C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</w:t>
            </w:r>
            <w:r w:rsidR="009C184A"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ч. 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кровомазання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4AFB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вагінальний 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кандидоз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сухість 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вульви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піхви, виділення зі статевих органів, біль у ділянці малого таза, атрофічний 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вульвовагініт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збільшення молочних залоз, 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кістозно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-фіброзні захворювання молочних залоз, </w:t>
            </w:r>
            <w:proofErr w:type="spellStart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нагрубання</w:t>
            </w:r>
            <w:proofErr w:type="spellEnd"/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молочних залоз</w:t>
            </w:r>
          </w:p>
        </w:tc>
      </w:tr>
      <w:tr w:rsidR="004C2710" w:rsidRPr="00BA1EB7" w14:paraId="4A3514CB" w14:textId="77777777" w:rsidTr="000754F3">
        <w:trPr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C654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 розлади та місцеві реакції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6434" w14:textId="77777777" w:rsidR="004C2710" w:rsidRPr="00BA1EB7" w:rsidRDefault="004C2710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астенічні стани, дратівливість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D0A6" w14:textId="5C0DEB3F" w:rsidR="004C2710" w:rsidRPr="00BA1EB7" w:rsidRDefault="00A7050B" w:rsidP="00075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4C2710" w:rsidRPr="00BA1E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абряк</w:t>
            </w:r>
          </w:p>
        </w:tc>
      </w:tr>
    </w:tbl>
    <w:p w14:paraId="3AFBA65D" w14:textId="77777777" w:rsidR="009C184A" w:rsidRPr="00BA1EB7" w:rsidRDefault="009C184A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14:paraId="716B9B31" w14:textId="5D37A682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Також спостерігалися такі побічні реакції: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персистенція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фолікулів, підвищення апетиту, реакції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гіперчутливості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82D92C6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Інші серйозні побічні реакції спостерігалися під час застосування стероїдних статевих гормонів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прогестогенів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(див. розділ «Особливості застосування»): венозні та артеріальні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тромбоемболічні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порушення, артеріальна гіпертензія, інфаркт міокарда, інсульт, новоутворення молочних залоз, пухлини печінки, відчуття дискомфорту у спині,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хлоазма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холестатична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жовтяниця, остеопороз, зміни толерантності до глюкози або вплив на периферичну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інсулінорезистентність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93AD429" w14:textId="77777777" w:rsidR="0003372E" w:rsidRPr="00BA1EB7" w:rsidRDefault="0003372E" w:rsidP="00033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Зниження мінеральної щільності кісткової тканини</w:t>
      </w:r>
    </w:p>
    <w:p w14:paraId="413995F6" w14:textId="064A7025" w:rsidR="0003372E" w:rsidRPr="00BA1EB7" w:rsidRDefault="0003372E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 ході неконтрольованого клінічного дослідження за участю 111 пацієнток підліткового віку (від 12 до &lt;18 років), які отримували терапію </w:t>
      </w:r>
      <w:proofErr w:type="spellStart"/>
      <w:r w:rsidR="00A70510"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дієногестом</w:t>
      </w:r>
      <w:proofErr w:type="spellEnd"/>
      <w:r w:rsidRPr="00BA1E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103 пацієнткам вимірювали МЩКТ. У близько 72 % учасників дослідження спостерігалося зниження МЩКТ поперекового відділу хребта (L2–L4) після 12 місяців застосування (див. розділ «Особливості застосування»).</w:t>
      </w:r>
    </w:p>
    <w:p w14:paraId="17648608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Повідомлення про підозрювані побічні реакції</w:t>
      </w:r>
    </w:p>
    <w:p w14:paraId="16CCDFE5" w14:textId="24C0B4CC" w:rsidR="00A92406" w:rsidRPr="00BA1EB7" w:rsidRDefault="00A92406" w:rsidP="00A92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Повідомлення про побічні реакції після реєстрації лікарського засобу має </w:t>
      </w:r>
      <w:r w:rsidR="00DF5A51" w:rsidRPr="00BA1E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важливе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значення. Це дає змогу проводити моніторинг співвідношення користь/ризик при застосуванні цього лікарського засобу. Медичним та фармацевтичним працівникам, а також пацієнтам або їх законним представникам слід повідомляти про усі випадки підозрюваних побічних реакцій та відсутності ефективності лікарського засобу через Автоматизовану інформаційну систему з </w:t>
      </w:r>
      <w:proofErr w:type="spellStart"/>
      <w:r w:rsidRPr="00BA1E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фармаконагляду</w:t>
      </w:r>
      <w:proofErr w:type="spellEnd"/>
      <w:r w:rsidRPr="00BA1E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посиланням: https://aisf.dec.gov.ua</w:t>
      </w:r>
      <w:r w:rsidR="00B45659" w:rsidRPr="00BA1E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F2719C4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</w:p>
    <w:p w14:paraId="6A143816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Термін придатності.</w:t>
      </w:r>
    </w:p>
    <w:p w14:paraId="24B89390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3 роки.</w:t>
      </w:r>
    </w:p>
    <w:p w14:paraId="5801C08C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6448E67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Умови зберігання.</w:t>
      </w:r>
    </w:p>
    <w:p w14:paraId="1F17F391" w14:textId="77777777" w:rsidR="004C2710" w:rsidRPr="00BA1EB7" w:rsidRDefault="004C2710" w:rsidP="004C2710">
      <w:pPr>
        <w:pStyle w:val="a3"/>
        <w:spacing w:before="0" w:beforeAutospacing="0" w:after="0" w:afterAutospacing="0"/>
        <w:jc w:val="both"/>
      </w:pPr>
      <w:r w:rsidRPr="00BA1EB7">
        <w:t>Зберігати в оригінальній упаковці при температурі не вище 25 ºС. Зберігати у недоступному для дітей місці.</w:t>
      </w:r>
    </w:p>
    <w:p w14:paraId="74E7B599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82EAA10" w14:textId="77777777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Упаковка.</w:t>
      </w:r>
    </w:p>
    <w:p w14:paraId="313F0ED7" w14:textId="2007722C" w:rsidR="004C2710" w:rsidRPr="00BA1EB7" w:rsidRDefault="004C2710" w:rsidP="004C2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По 28 таблеток у блістері; по 1</w:t>
      </w:r>
      <w:r w:rsidR="00972D29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по 3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блістер</w:t>
      </w:r>
      <w:r w:rsidR="00972D29"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и у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картонній коробці.</w:t>
      </w:r>
    </w:p>
    <w:p w14:paraId="5B291EA7" w14:textId="77777777" w:rsidR="004C2710" w:rsidRPr="00BA1EB7" w:rsidRDefault="004C2710" w:rsidP="00D0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389D09F" w14:textId="77777777" w:rsidR="004C2710" w:rsidRPr="00BA1EB7" w:rsidRDefault="004C2710" w:rsidP="00D0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Категорія відпуску.</w:t>
      </w:r>
    </w:p>
    <w:p w14:paraId="69154970" w14:textId="77777777" w:rsidR="004C2710" w:rsidRPr="00BA1EB7" w:rsidRDefault="004C2710" w:rsidP="00D0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За рецептом.</w:t>
      </w:r>
    </w:p>
    <w:p w14:paraId="70AF3A2E" w14:textId="77777777" w:rsidR="004C2710" w:rsidRPr="00BA1EB7" w:rsidRDefault="004C2710" w:rsidP="00D0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D57F784" w14:textId="77777777" w:rsidR="004C2710" w:rsidRPr="00BA1EB7" w:rsidRDefault="004C2710" w:rsidP="00D0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Виробник.</w:t>
      </w:r>
    </w:p>
    <w:p w14:paraId="02BF3FB9" w14:textId="5C742A53" w:rsidR="004C2710" w:rsidRPr="00BA1EB7" w:rsidRDefault="004C2710" w:rsidP="00D04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A1EB7">
        <w:rPr>
          <w:rFonts w:ascii="Times New Roman" w:hAnsi="Times New Roman" w:cs="Times New Roman"/>
          <w:sz w:val="24"/>
          <w:szCs w:val="24"/>
          <w:lang w:val="uk-UA" w:eastAsia="ru-RU"/>
        </w:rPr>
        <w:t>ЛАБОРАТОРІОС ЛЕОН ФАРМА С.А.</w:t>
      </w:r>
      <w:r w:rsidRPr="00BA1EB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BA1EB7">
        <w:rPr>
          <w:rFonts w:ascii="Times New Roman" w:hAnsi="Times New Roman" w:cs="Times New Roman"/>
          <w:sz w:val="24"/>
          <w:szCs w:val="24"/>
          <w:lang w:val="uk-UA" w:eastAsia="ru-RU"/>
        </w:rPr>
        <w:t>LABORATORIOS LEON FARMA S.A.</w:t>
      </w:r>
    </w:p>
    <w:p w14:paraId="7DFC5B98" w14:textId="77777777" w:rsidR="004C2710" w:rsidRPr="00BA1EB7" w:rsidRDefault="004C2710" w:rsidP="00D0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552C9AF" w14:textId="77777777" w:rsidR="004C2710" w:rsidRPr="00BA1EB7" w:rsidRDefault="004C2710" w:rsidP="00D0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A1EB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Місцезнаходження виробника та адреса місця провадження його діяльності.</w:t>
      </w:r>
    </w:p>
    <w:p w14:paraId="64102BE5" w14:textId="7CD8A8D7" w:rsidR="004C2710" w:rsidRPr="009162B8" w:rsidRDefault="009162B8" w:rsidP="00D04E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9162B8">
        <w:rPr>
          <w:rFonts w:ascii="Times New Roman" w:hAnsi="Times New Roman" w:cs="Times New Roman"/>
          <w:sz w:val="24"/>
          <w:szCs w:val="24"/>
          <w:lang w:val="uk-UA"/>
        </w:rPr>
        <w:t>Полігоно</w:t>
      </w:r>
      <w:proofErr w:type="spellEnd"/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162B8">
        <w:rPr>
          <w:rFonts w:ascii="Times New Roman" w:hAnsi="Times New Roman" w:cs="Times New Roman"/>
          <w:sz w:val="24"/>
          <w:szCs w:val="24"/>
          <w:lang w:val="uk-UA"/>
        </w:rPr>
        <w:t>Індустріаль</w:t>
      </w:r>
      <w:proofErr w:type="spellEnd"/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162B8">
        <w:rPr>
          <w:rFonts w:ascii="Times New Roman" w:hAnsi="Times New Roman" w:cs="Times New Roman"/>
          <w:sz w:val="24"/>
          <w:szCs w:val="24"/>
          <w:lang w:val="uk-UA"/>
        </w:rPr>
        <w:t>Наватехера</w:t>
      </w:r>
      <w:proofErr w:type="spellEnd"/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, вул. Ла </w:t>
      </w:r>
      <w:proofErr w:type="spellStart"/>
      <w:r w:rsidRPr="009162B8">
        <w:rPr>
          <w:rFonts w:ascii="Times New Roman" w:hAnsi="Times New Roman" w:cs="Times New Roman"/>
          <w:sz w:val="24"/>
          <w:szCs w:val="24"/>
          <w:lang w:val="uk-UA"/>
        </w:rPr>
        <w:t>Вальїна</w:t>
      </w:r>
      <w:proofErr w:type="spellEnd"/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 б/н, </w:t>
      </w:r>
      <w:proofErr w:type="spellStart"/>
      <w:r w:rsidRPr="009162B8">
        <w:rPr>
          <w:rFonts w:ascii="Times New Roman" w:hAnsi="Times New Roman" w:cs="Times New Roman"/>
          <w:sz w:val="24"/>
          <w:szCs w:val="24"/>
          <w:lang w:val="uk-UA"/>
        </w:rPr>
        <w:t>Вільякіламбре</w:t>
      </w:r>
      <w:proofErr w:type="spellEnd"/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, 24193 Леон, Іспанія / </w:t>
      </w:r>
      <w:proofErr w:type="spellStart"/>
      <w:r w:rsidRPr="009162B8">
        <w:rPr>
          <w:rFonts w:ascii="Times New Roman" w:hAnsi="Times New Roman" w:cs="Times New Roman"/>
          <w:sz w:val="24"/>
          <w:szCs w:val="24"/>
          <w:lang w:val="en-US"/>
        </w:rPr>
        <w:t>Poligono</w:t>
      </w:r>
      <w:proofErr w:type="spellEnd"/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62B8">
        <w:rPr>
          <w:rFonts w:ascii="Times New Roman" w:hAnsi="Times New Roman" w:cs="Times New Roman"/>
          <w:sz w:val="24"/>
          <w:szCs w:val="24"/>
          <w:lang w:val="en-US"/>
        </w:rPr>
        <w:t>Industrial</w:t>
      </w:r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162B8">
        <w:rPr>
          <w:rFonts w:ascii="Times New Roman" w:hAnsi="Times New Roman" w:cs="Times New Roman"/>
          <w:sz w:val="24"/>
          <w:szCs w:val="24"/>
          <w:lang w:val="en-US"/>
        </w:rPr>
        <w:t>Navatejera</w:t>
      </w:r>
      <w:proofErr w:type="spellEnd"/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162B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162B8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162B8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162B8">
        <w:rPr>
          <w:rFonts w:ascii="Times New Roman" w:hAnsi="Times New Roman" w:cs="Times New Roman"/>
          <w:sz w:val="24"/>
          <w:szCs w:val="24"/>
          <w:lang w:val="en-US"/>
        </w:rPr>
        <w:t>Vallina</w:t>
      </w:r>
      <w:proofErr w:type="spellEnd"/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62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162B8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162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162B8">
        <w:rPr>
          <w:rFonts w:ascii="Times New Roman" w:hAnsi="Times New Roman" w:cs="Times New Roman"/>
          <w:sz w:val="24"/>
          <w:szCs w:val="24"/>
          <w:lang w:val="en-US"/>
        </w:rPr>
        <w:t>Villaquilambre</w:t>
      </w:r>
      <w:proofErr w:type="spellEnd"/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, 24193 </w:t>
      </w:r>
      <w:r w:rsidRPr="009162B8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9162B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162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162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162B8">
        <w:rPr>
          <w:rFonts w:ascii="Times New Roman" w:hAnsi="Times New Roman" w:cs="Times New Roman"/>
          <w:sz w:val="24"/>
          <w:szCs w:val="24"/>
          <w:lang w:val="en-US"/>
        </w:rPr>
        <w:t>Spain</w:t>
      </w:r>
      <w:r w:rsidRPr="009162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70CA8E" w14:textId="77777777" w:rsidR="004C2710" w:rsidRPr="00BA1EB7" w:rsidRDefault="004C2710" w:rsidP="00D04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01B84432" w14:textId="4F578CEE" w:rsidR="00C1355F" w:rsidRPr="00026038" w:rsidRDefault="004C2710" w:rsidP="00D04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A1EB7">
        <w:rPr>
          <w:rFonts w:ascii="Times New Roman" w:hAnsi="Times New Roman" w:cs="Times New Roman"/>
          <w:b/>
          <w:sz w:val="24"/>
          <w:szCs w:val="24"/>
          <w:lang w:val="uk-UA" w:eastAsia="ru-RU"/>
        </w:rPr>
        <w:t>Дата останнього перегляду.</w:t>
      </w:r>
      <w:r w:rsidR="00C9321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bookmarkStart w:id="1" w:name="_GoBack"/>
      <w:bookmarkEnd w:id="1"/>
    </w:p>
    <w:sectPr w:rsidR="00C1355F" w:rsidRPr="00026038" w:rsidSect="00FB05E0">
      <w:footerReference w:type="default" r:id="rId7"/>
      <w:pgSz w:w="11906" w:h="16838"/>
      <w:pgMar w:top="1134" w:right="850" w:bottom="1134" w:left="1701" w:header="708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D9EC8" w14:textId="77777777" w:rsidR="00975129" w:rsidRDefault="00975129">
      <w:pPr>
        <w:spacing w:after="0" w:line="240" w:lineRule="auto"/>
      </w:pPr>
      <w:r>
        <w:separator/>
      </w:r>
    </w:p>
  </w:endnote>
  <w:endnote w:type="continuationSeparator" w:id="0">
    <w:p w14:paraId="612FFCFC" w14:textId="77777777" w:rsidR="00975129" w:rsidRDefault="0097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4642188"/>
      <w:docPartObj>
        <w:docPartGallery w:val="Page Numbers (Bottom of Page)"/>
        <w:docPartUnique/>
      </w:docPartObj>
    </w:sdtPr>
    <w:sdtEndPr/>
    <w:sdtContent>
      <w:p w14:paraId="6C059A71" w14:textId="34DFB2F3" w:rsidR="00FB05E0" w:rsidRDefault="00FB05E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DB6">
          <w:rPr>
            <w:noProof/>
          </w:rPr>
          <w:t>11</w:t>
        </w:r>
        <w:r>
          <w:fldChar w:fldCharType="end"/>
        </w:r>
      </w:p>
    </w:sdtContent>
  </w:sdt>
  <w:p w14:paraId="71B6841B" w14:textId="77777777" w:rsidR="00256A69" w:rsidRDefault="00256A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B888A" w14:textId="77777777" w:rsidR="00975129" w:rsidRDefault="00975129">
      <w:pPr>
        <w:spacing w:after="0" w:line="240" w:lineRule="auto"/>
      </w:pPr>
      <w:r>
        <w:separator/>
      </w:r>
    </w:p>
  </w:footnote>
  <w:footnote w:type="continuationSeparator" w:id="0">
    <w:p w14:paraId="7BF403AB" w14:textId="77777777" w:rsidR="00975129" w:rsidRDefault="0097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536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74155C"/>
    <w:multiLevelType w:val="hybridMultilevel"/>
    <w:tmpl w:val="D5C8DA1A"/>
    <w:lvl w:ilvl="0" w:tplc="74BC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D0"/>
    <w:rsid w:val="00016E02"/>
    <w:rsid w:val="00026038"/>
    <w:rsid w:val="000314F0"/>
    <w:rsid w:val="0003372E"/>
    <w:rsid w:val="000737FE"/>
    <w:rsid w:val="00091FEA"/>
    <w:rsid w:val="000A1DB3"/>
    <w:rsid w:val="00131344"/>
    <w:rsid w:val="00136434"/>
    <w:rsid w:val="00142F5A"/>
    <w:rsid w:val="00195804"/>
    <w:rsid w:val="001A5C55"/>
    <w:rsid w:val="001A613D"/>
    <w:rsid w:val="001C11D0"/>
    <w:rsid w:val="001D4BA4"/>
    <w:rsid w:val="0020146B"/>
    <w:rsid w:val="0021220B"/>
    <w:rsid w:val="00253FD7"/>
    <w:rsid w:val="00256A69"/>
    <w:rsid w:val="002E526C"/>
    <w:rsid w:val="002F5ACE"/>
    <w:rsid w:val="0033282F"/>
    <w:rsid w:val="00351C53"/>
    <w:rsid w:val="00382192"/>
    <w:rsid w:val="003D62BE"/>
    <w:rsid w:val="00427536"/>
    <w:rsid w:val="004473AD"/>
    <w:rsid w:val="0048025C"/>
    <w:rsid w:val="00485883"/>
    <w:rsid w:val="004C2710"/>
    <w:rsid w:val="004D5180"/>
    <w:rsid w:val="004D71DC"/>
    <w:rsid w:val="00525731"/>
    <w:rsid w:val="00526528"/>
    <w:rsid w:val="0054499F"/>
    <w:rsid w:val="00573CFB"/>
    <w:rsid w:val="0058302F"/>
    <w:rsid w:val="005B73FE"/>
    <w:rsid w:val="005D6E60"/>
    <w:rsid w:val="00601362"/>
    <w:rsid w:val="0066589C"/>
    <w:rsid w:val="006845D5"/>
    <w:rsid w:val="00690135"/>
    <w:rsid w:val="006D37B3"/>
    <w:rsid w:val="006E75C4"/>
    <w:rsid w:val="006F4B46"/>
    <w:rsid w:val="00711EAC"/>
    <w:rsid w:val="007301A1"/>
    <w:rsid w:val="00755C8C"/>
    <w:rsid w:val="007654F8"/>
    <w:rsid w:val="007C0169"/>
    <w:rsid w:val="00843326"/>
    <w:rsid w:val="008B2832"/>
    <w:rsid w:val="008E0673"/>
    <w:rsid w:val="00900F15"/>
    <w:rsid w:val="00901ED8"/>
    <w:rsid w:val="00904C1E"/>
    <w:rsid w:val="009162B8"/>
    <w:rsid w:val="00961B89"/>
    <w:rsid w:val="00972A72"/>
    <w:rsid w:val="00972D29"/>
    <w:rsid w:val="00973CB6"/>
    <w:rsid w:val="00975129"/>
    <w:rsid w:val="009B4285"/>
    <w:rsid w:val="009C184A"/>
    <w:rsid w:val="00A13109"/>
    <w:rsid w:val="00A37026"/>
    <w:rsid w:val="00A57A02"/>
    <w:rsid w:val="00A7050B"/>
    <w:rsid w:val="00A70510"/>
    <w:rsid w:val="00A8192C"/>
    <w:rsid w:val="00A92406"/>
    <w:rsid w:val="00AA7FED"/>
    <w:rsid w:val="00AC5078"/>
    <w:rsid w:val="00AC6283"/>
    <w:rsid w:val="00B3170A"/>
    <w:rsid w:val="00B433F4"/>
    <w:rsid w:val="00B45659"/>
    <w:rsid w:val="00BA1EB7"/>
    <w:rsid w:val="00C1355F"/>
    <w:rsid w:val="00C9321B"/>
    <w:rsid w:val="00CA5618"/>
    <w:rsid w:val="00D04E36"/>
    <w:rsid w:val="00D70407"/>
    <w:rsid w:val="00D71CC1"/>
    <w:rsid w:val="00D95CEF"/>
    <w:rsid w:val="00DB1F46"/>
    <w:rsid w:val="00DB4339"/>
    <w:rsid w:val="00DC3BBF"/>
    <w:rsid w:val="00DD3AAF"/>
    <w:rsid w:val="00DF5A51"/>
    <w:rsid w:val="00E05244"/>
    <w:rsid w:val="00E31CAA"/>
    <w:rsid w:val="00E32A8E"/>
    <w:rsid w:val="00EB697C"/>
    <w:rsid w:val="00EC4DB6"/>
    <w:rsid w:val="00EE001A"/>
    <w:rsid w:val="00EE1871"/>
    <w:rsid w:val="00EE4174"/>
    <w:rsid w:val="00EE486C"/>
    <w:rsid w:val="00EE7C48"/>
    <w:rsid w:val="00F13D82"/>
    <w:rsid w:val="00F8118C"/>
    <w:rsid w:val="00FB05E0"/>
    <w:rsid w:val="00FC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C48713"/>
  <w15:chartTrackingRefBased/>
  <w15:docId w15:val="{992346E2-68BB-4AC0-A0C5-B04895BC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71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footer"/>
    <w:basedOn w:val="a"/>
    <w:link w:val="a5"/>
    <w:uiPriority w:val="99"/>
    <w:unhideWhenUsed/>
    <w:rsid w:val="004C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C2710"/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92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2406"/>
    <w:rPr>
      <w:rFonts w:ascii="Segoe UI" w:hAnsi="Segoe UI" w:cs="Segoe UI"/>
      <w:sz w:val="18"/>
      <w:szCs w:val="18"/>
      <w:lang w:val="ru-RU"/>
    </w:rPr>
  </w:style>
  <w:style w:type="paragraph" w:styleId="a8">
    <w:name w:val="List Paragraph"/>
    <w:basedOn w:val="a"/>
    <w:uiPriority w:val="34"/>
    <w:qFormat/>
    <w:rsid w:val="004D518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B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5E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11</Pages>
  <Words>4846</Words>
  <Characters>27626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Кирпач</dc:creator>
  <cp:keywords/>
  <dc:description/>
  <cp:lastModifiedBy>bio</cp:lastModifiedBy>
  <cp:revision>30</cp:revision>
  <cp:lastPrinted>2024-09-19T09:31:00Z</cp:lastPrinted>
  <dcterms:created xsi:type="dcterms:W3CDTF">2024-01-29T06:44:00Z</dcterms:created>
  <dcterms:modified xsi:type="dcterms:W3CDTF">2024-09-19T09:43:00Z</dcterms:modified>
</cp:coreProperties>
</file>